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E0" w:rsidRDefault="0004525A" w:rsidP="0004525A">
      <w:pPr>
        <w:spacing w:after="0" w:line="240" w:lineRule="auto"/>
        <w:jc w:val="center"/>
        <w:rPr>
          <w:b/>
          <w:u w:val="single"/>
          <w:lang w:val="en-GB"/>
        </w:rPr>
      </w:pPr>
      <w:r>
        <w:rPr>
          <w:b/>
          <w:u w:val="single"/>
          <w:lang w:val="en-GB"/>
        </w:rPr>
        <w:t>Sure Start All Party Parliamentary Group, Inquiry Session, 14</w:t>
      </w:r>
      <w:r w:rsidRPr="0004525A">
        <w:rPr>
          <w:b/>
          <w:u w:val="single"/>
          <w:vertAlign w:val="superscript"/>
          <w:lang w:val="en-GB"/>
        </w:rPr>
        <w:t>th</w:t>
      </w:r>
      <w:r>
        <w:rPr>
          <w:b/>
          <w:u w:val="single"/>
          <w:lang w:val="en-GB"/>
        </w:rPr>
        <w:t xml:space="preserve"> December</w:t>
      </w:r>
    </w:p>
    <w:p w:rsidR="0004525A" w:rsidRDefault="0004525A" w:rsidP="0004525A">
      <w:pPr>
        <w:spacing w:after="0" w:line="240" w:lineRule="auto"/>
        <w:rPr>
          <w:b/>
          <w:u w:val="single"/>
          <w:lang w:val="en-GB"/>
        </w:rPr>
      </w:pPr>
    </w:p>
    <w:p w:rsidR="0004525A" w:rsidRPr="0004525A" w:rsidRDefault="0004525A" w:rsidP="0004525A">
      <w:pPr>
        <w:spacing w:after="0" w:line="240" w:lineRule="auto"/>
        <w:rPr>
          <w:lang w:val="en-GB"/>
        </w:rPr>
      </w:pPr>
      <w:proofErr w:type="gramStart"/>
      <w:r>
        <w:rPr>
          <w:lang w:val="en-GB"/>
        </w:rPr>
        <w:t>Meeting minutes.</w:t>
      </w:r>
      <w:proofErr w:type="gramEnd"/>
    </w:p>
    <w:p w:rsidR="000F7E03" w:rsidRDefault="000F7E03" w:rsidP="000F7E03">
      <w:pPr>
        <w:spacing w:after="0" w:line="240" w:lineRule="auto"/>
        <w:rPr>
          <w:b/>
          <w:lang w:val="en-GB"/>
        </w:rPr>
      </w:pPr>
    </w:p>
    <w:p w:rsidR="000F7E03" w:rsidRDefault="000F7E03" w:rsidP="000F7E03">
      <w:pPr>
        <w:spacing w:after="0" w:line="240" w:lineRule="auto"/>
        <w:rPr>
          <w:lang w:val="en-GB"/>
        </w:rPr>
      </w:pPr>
      <w:r w:rsidRPr="000F7E03">
        <w:rPr>
          <w:lang w:val="en-GB"/>
        </w:rPr>
        <w:t xml:space="preserve">Attendees: </w:t>
      </w:r>
      <w:r>
        <w:rPr>
          <w:lang w:val="en-GB"/>
        </w:rPr>
        <w:tab/>
        <w:t>Annette Brooke MP (Chair)</w:t>
      </w:r>
    </w:p>
    <w:p w:rsidR="000F7E03" w:rsidRDefault="000F7E03" w:rsidP="000F7E03">
      <w:pPr>
        <w:spacing w:after="0" w:line="240" w:lineRule="auto"/>
        <w:rPr>
          <w:lang w:val="en-GB"/>
        </w:rPr>
      </w:pPr>
      <w:r>
        <w:rPr>
          <w:lang w:val="en-GB"/>
        </w:rPr>
        <w:tab/>
      </w:r>
      <w:r>
        <w:rPr>
          <w:lang w:val="en-GB"/>
        </w:rPr>
        <w:tab/>
        <w:t xml:space="preserve">Andrea </w:t>
      </w:r>
      <w:proofErr w:type="spellStart"/>
      <w:r>
        <w:rPr>
          <w:lang w:val="en-GB"/>
        </w:rPr>
        <w:t>Leadsome</w:t>
      </w:r>
      <w:proofErr w:type="spellEnd"/>
      <w:r>
        <w:rPr>
          <w:lang w:val="en-GB"/>
        </w:rPr>
        <w:t xml:space="preserve"> MP (Deputy)</w:t>
      </w:r>
    </w:p>
    <w:p w:rsidR="000F7E03" w:rsidRDefault="000F7E03" w:rsidP="000F7E03">
      <w:pPr>
        <w:spacing w:after="0" w:line="240" w:lineRule="auto"/>
        <w:rPr>
          <w:lang w:val="en-GB"/>
        </w:rPr>
      </w:pPr>
      <w:r>
        <w:rPr>
          <w:lang w:val="en-GB"/>
        </w:rPr>
        <w:tab/>
      </w:r>
      <w:r>
        <w:rPr>
          <w:lang w:val="en-GB"/>
        </w:rPr>
        <w:tab/>
        <w:t>Sharon Hodgson MP (Deputy)</w:t>
      </w:r>
    </w:p>
    <w:p w:rsidR="000F7E03" w:rsidRDefault="000F7E03" w:rsidP="000F7E03">
      <w:pPr>
        <w:spacing w:after="0" w:line="240" w:lineRule="auto"/>
        <w:rPr>
          <w:lang w:val="en-GB"/>
        </w:rPr>
      </w:pPr>
      <w:r>
        <w:rPr>
          <w:lang w:val="en-GB"/>
        </w:rPr>
        <w:tab/>
      </w:r>
      <w:r>
        <w:rPr>
          <w:lang w:val="en-GB"/>
        </w:rPr>
        <w:tab/>
        <w:t>Anne Longfield (</w:t>
      </w:r>
      <w:r w:rsidR="003431E0">
        <w:rPr>
          <w:lang w:val="en-GB"/>
        </w:rPr>
        <w:t>4Children)</w:t>
      </w:r>
    </w:p>
    <w:p w:rsidR="00D33A01" w:rsidRDefault="003431E0" w:rsidP="003431E0">
      <w:pPr>
        <w:spacing w:after="0" w:line="240" w:lineRule="auto"/>
        <w:rPr>
          <w:lang w:val="en-GB"/>
        </w:rPr>
      </w:pPr>
      <w:r>
        <w:rPr>
          <w:lang w:val="en-GB"/>
        </w:rPr>
        <w:tab/>
      </w:r>
      <w:r>
        <w:rPr>
          <w:lang w:val="en-GB"/>
        </w:rPr>
        <w:tab/>
      </w:r>
      <w:r w:rsidRPr="003431E0">
        <w:rPr>
          <w:lang w:val="en-GB"/>
        </w:rPr>
        <w:t>Jenny Andrews</w:t>
      </w:r>
      <w:r w:rsidRPr="003431E0">
        <w:rPr>
          <w:lang w:val="en-GB"/>
        </w:rPr>
        <w:tab/>
      </w:r>
      <w:r w:rsidR="00D33A01">
        <w:rPr>
          <w:lang w:val="en-GB"/>
        </w:rPr>
        <w:t>(</w:t>
      </w:r>
      <w:r w:rsidRPr="003431E0">
        <w:rPr>
          <w:lang w:val="en-GB"/>
        </w:rPr>
        <w:t>Manchester C</w:t>
      </w:r>
      <w:r w:rsidR="00D33A01">
        <w:rPr>
          <w:lang w:val="en-GB"/>
        </w:rPr>
        <w:t xml:space="preserve">ity </w:t>
      </w:r>
      <w:r w:rsidRPr="003431E0">
        <w:rPr>
          <w:lang w:val="en-GB"/>
        </w:rPr>
        <w:t>C</w:t>
      </w:r>
      <w:r w:rsidR="00D33A01">
        <w:rPr>
          <w:lang w:val="en-GB"/>
        </w:rPr>
        <w:t>ouncil)</w:t>
      </w:r>
    </w:p>
    <w:p w:rsidR="00D33A01" w:rsidRDefault="00D33A01" w:rsidP="00D33A01">
      <w:pPr>
        <w:spacing w:after="0" w:line="240" w:lineRule="auto"/>
        <w:ind w:left="720" w:firstLine="720"/>
        <w:rPr>
          <w:lang w:val="en-GB"/>
        </w:rPr>
      </w:pPr>
      <w:r>
        <w:rPr>
          <w:lang w:val="en-GB"/>
        </w:rPr>
        <w:t>Nick Whitfield (</w:t>
      </w:r>
      <w:r w:rsidR="003431E0" w:rsidRPr="003431E0">
        <w:rPr>
          <w:lang w:val="en-GB"/>
        </w:rPr>
        <w:t>Richmond</w:t>
      </w:r>
      <w:r>
        <w:rPr>
          <w:lang w:val="en-GB"/>
        </w:rPr>
        <w:t>-upon-Thames</w:t>
      </w:r>
      <w:r w:rsidR="003431E0" w:rsidRPr="003431E0">
        <w:rPr>
          <w:lang w:val="en-GB"/>
        </w:rPr>
        <w:t xml:space="preserve"> </w:t>
      </w:r>
      <w:r>
        <w:rPr>
          <w:lang w:val="en-GB"/>
        </w:rPr>
        <w:t>C</w:t>
      </w:r>
      <w:r w:rsidR="003431E0" w:rsidRPr="003431E0">
        <w:rPr>
          <w:lang w:val="en-GB"/>
        </w:rPr>
        <w:t>ouncil</w:t>
      </w:r>
      <w:r>
        <w:rPr>
          <w:lang w:val="en-GB"/>
        </w:rPr>
        <w:t>)</w:t>
      </w:r>
    </w:p>
    <w:p w:rsidR="00D33A01" w:rsidRDefault="00D33A01" w:rsidP="00D33A01">
      <w:pPr>
        <w:spacing w:after="0" w:line="240" w:lineRule="auto"/>
        <w:ind w:left="720" w:firstLine="720"/>
        <w:rPr>
          <w:lang w:val="en-GB"/>
        </w:rPr>
      </w:pPr>
      <w:r>
        <w:rPr>
          <w:lang w:val="en-GB"/>
        </w:rPr>
        <w:t>Cllr Christine Percival (</w:t>
      </w:r>
      <w:r w:rsidR="003431E0" w:rsidRPr="003431E0">
        <w:rPr>
          <w:lang w:val="en-GB"/>
        </w:rPr>
        <w:t>Richmond</w:t>
      </w:r>
      <w:r>
        <w:rPr>
          <w:lang w:val="en-GB"/>
        </w:rPr>
        <w:t>-upon-Thames</w:t>
      </w:r>
      <w:r w:rsidR="003431E0" w:rsidRPr="003431E0">
        <w:rPr>
          <w:lang w:val="en-GB"/>
        </w:rPr>
        <w:t xml:space="preserve"> </w:t>
      </w:r>
      <w:r>
        <w:rPr>
          <w:lang w:val="en-GB"/>
        </w:rPr>
        <w:t>C</w:t>
      </w:r>
      <w:r w:rsidR="003431E0" w:rsidRPr="003431E0">
        <w:rPr>
          <w:lang w:val="en-GB"/>
        </w:rPr>
        <w:t>ouncil</w:t>
      </w:r>
      <w:r>
        <w:rPr>
          <w:lang w:val="en-GB"/>
        </w:rPr>
        <w:t>)</w:t>
      </w:r>
    </w:p>
    <w:p w:rsidR="00D33A01" w:rsidRDefault="003431E0" w:rsidP="00D33A01">
      <w:pPr>
        <w:spacing w:after="0" w:line="240" w:lineRule="auto"/>
        <w:ind w:left="720" w:firstLine="720"/>
        <w:rPr>
          <w:lang w:val="en-GB"/>
        </w:rPr>
      </w:pPr>
      <w:r w:rsidRPr="003431E0">
        <w:rPr>
          <w:lang w:val="en-GB"/>
        </w:rPr>
        <w:t>Trevor Doughty</w:t>
      </w:r>
      <w:r w:rsidRPr="003431E0">
        <w:rPr>
          <w:lang w:val="en-GB"/>
        </w:rPr>
        <w:tab/>
      </w:r>
      <w:r w:rsidR="00D33A01">
        <w:rPr>
          <w:lang w:val="en-GB"/>
        </w:rPr>
        <w:t>(</w:t>
      </w:r>
      <w:r w:rsidRPr="003431E0">
        <w:rPr>
          <w:lang w:val="en-GB"/>
        </w:rPr>
        <w:t>Cornwall C</w:t>
      </w:r>
      <w:r w:rsidR="00D33A01">
        <w:rPr>
          <w:lang w:val="en-GB"/>
        </w:rPr>
        <w:t xml:space="preserve">ounty </w:t>
      </w:r>
      <w:r w:rsidRPr="003431E0">
        <w:rPr>
          <w:lang w:val="en-GB"/>
        </w:rPr>
        <w:t>C</w:t>
      </w:r>
      <w:r w:rsidR="00D33A01">
        <w:rPr>
          <w:lang w:val="en-GB"/>
        </w:rPr>
        <w:t>ouncil)</w:t>
      </w:r>
    </w:p>
    <w:p w:rsidR="00D33A01" w:rsidRDefault="003431E0" w:rsidP="00D33A01">
      <w:pPr>
        <w:spacing w:after="0" w:line="240" w:lineRule="auto"/>
        <w:ind w:left="720" w:firstLine="720"/>
        <w:rPr>
          <w:lang w:val="en-GB"/>
        </w:rPr>
      </w:pPr>
      <w:r w:rsidRPr="003431E0">
        <w:rPr>
          <w:lang w:val="en-GB"/>
        </w:rPr>
        <w:t>Cllr Neil Burden</w:t>
      </w:r>
      <w:r w:rsidRPr="003431E0">
        <w:rPr>
          <w:lang w:val="en-GB"/>
        </w:rPr>
        <w:tab/>
      </w:r>
      <w:r w:rsidR="00D33A01">
        <w:rPr>
          <w:lang w:val="en-GB"/>
        </w:rPr>
        <w:t>(</w:t>
      </w:r>
      <w:r w:rsidRPr="003431E0">
        <w:rPr>
          <w:lang w:val="en-GB"/>
        </w:rPr>
        <w:t>Cornwall C</w:t>
      </w:r>
      <w:r w:rsidR="00D33A01">
        <w:rPr>
          <w:lang w:val="en-GB"/>
        </w:rPr>
        <w:t xml:space="preserve">ounty </w:t>
      </w:r>
      <w:r w:rsidRPr="003431E0">
        <w:rPr>
          <w:lang w:val="en-GB"/>
        </w:rPr>
        <w:t>C</w:t>
      </w:r>
      <w:r w:rsidR="00D33A01">
        <w:rPr>
          <w:lang w:val="en-GB"/>
        </w:rPr>
        <w:t>ouncil)</w:t>
      </w:r>
    </w:p>
    <w:p w:rsidR="003431E0" w:rsidRDefault="003431E0" w:rsidP="00D33A01">
      <w:pPr>
        <w:spacing w:after="0" w:line="240" w:lineRule="auto"/>
        <w:ind w:left="720" w:firstLine="720"/>
        <w:rPr>
          <w:lang w:val="en-GB"/>
        </w:rPr>
      </w:pPr>
      <w:r w:rsidRPr="003431E0">
        <w:rPr>
          <w:lang w:val="en-GB"/>
        </w:rPr>
        <w:t>Cllr Rita Krishna</w:t>
      </w:r>
      <w:r w:rsidRPr="003431E0">
        <w:rPr>
          <w:lang w:val="en-GB"/>
        </w:rPr>
        <w:tab/>
      </w:r>
      <w:r w:rsidR="00D33A01">
        <w:rPr>
          <w:lang w:val="en-GB"/>
        </w:rPr>
        <w:t>(</w:t>
      </w:r>
      <w:r w:rsidRPr="003431E0">
        <w:rPr>
          <w:lang w:val="en-GB"/>
        </w:rPr>
        <w:t>LGA</w:t>
      </w:r>
      <w:r w:rsidR="00D33A01">
        <w:rPr>
          <w:lang w:val="en-GB"/>
        </w:rPr>
        <w:t>)</w:t>
      </w:r>
    </w:p>
    <w:p w:rsidR="0004525A" w:rsidRDefault="0004525A" w:rsidP="00D33A01">
      <w:pPr>
        <w:spacing w:after="0" w:line="240" w:lineRule="auto"/>
        <w:ind w:left="720" w:firstLine="720"/>
        <w:rPr>
          <w:lang w:val="en-GB"/>
        </w:rPr>
      </w:pPr>
      <w:r>
        <w:rPr>
          <w:lang w:val="en-GB"/>
        </w:rPr>
        <w:t xml:space="preserve">Paul </w:t>
      </w:r>
      <w:proofErr w:type="spellStart"/>
      <w:r>
        <w:rPr>
          <w:lang w:val="en-GB"/>
        </w:rPr>
        <w:t>Goggins</w:t>
      </w:r>
      <w:proofErr w:type="spellEnd"/>
      <w:r>
        <w:rPr>
          <w:lang w:val="en-GB"/>
        </w:rPr>
        <w:t xml:space="preserve"> MP</w:t>
      </w:r>
    </w:p>
    <w:p w:rsidR="0004525A" w:rsidRDefault="0004525A" w:rsidP="00D33A01">
      <w:pPr>
        <w:spacing w:after="0" w:line="240" w:lineRule="auto"/>
        <w:ind w:left="720" w:firstLine="720"/>
        <w:rPr>
          <w:lang w:val="en-GB"/>
        </w:rPr>
      </w:pPr>
      <w:r>
        <w:rPr>
          <w:lang w:val="en-GB"/>
        </w:rPr>
        <w:t xml:space="preserve">Dan </w:t>
      </w:r>
      <w:proofErr w:type="spellStart"/>
      <w:r>
        <w:rPr>
          <w:lang w:val="en-GB"/>
        </w:rPr>
        <w:t>Rogerson</w:t>
      </w:r>
      <w:proofErr w:type="spellEnd"/>
      <w:r>
        <w:rPr>
          <w:lang w:val="en-GB"/>
        </w:rPr>
        <w:t xml:space="preserve"> MP</w:t>
      </w:r>
    </w:p>
    <w:p w:rsidR="000F7E03" w:rsidRDefault="000F7E03" w:rsidP="000F7E03">
      <w:pPr>
        <w:spacing w:after="0" w:line="240" w:lineRule="auto"/>
        <w:rPr>
          <w:b/>
          <w:lang w:val="en-GB"/>
        </w:rPr>
      </w:pPr>
    </w:p>
    <w:p w:rsidR="000F7E03" w:rsidRPr="00B407BC" w:rsidRDefault="00D33A01" w:rsidP="000F7E03">
      <w:pPr>
        <w:spacing w:after="0" w:line="240" w:lineRule="auto"/>
        <w:rPr>
          <w:u w:val="single"/>
          <w:lang w:val="en-GB"/>
        </w:rPr>
      </w:pPr>
      <w:r w:rsidRPr="00B407BC">
        <w:rPr>
          <w:u w:val="single"/>
          <w:lang w:val="en-GB"/>
        </w:rPr>
        <w:t>Cllr Rita Krishna appeared for the Local Government Association</w:t>
      </w:r>
    </w:p>
    <w:p w:rsidR="00C4348C" w:rsidRDefault="009426A0" w:rsidP="000F7E03">
      <w:pPr>
        <w:pStyle w:val="ListParagraph"/>
        <w:numPr>
          <w:ilvl w:val="0"/>
          <w:numId w:val="1"/>
        </w:numPr>
        <w:spacing w:after="0" w:line="240" w:lineRule="auto"/>
        <w:rPr>
          <w:lang w:val="en-GB"/>
        </w:rPr>
      </w:pPr>
      <w:r>
        <w:rPr>
          <w:lang w:val="en-GB"/>
        </w:rPr>
        <w:t>Local authorities are experiencing cumulative cuts of 25%</w:t>
      </w:r>
    </w:p>
    <w:p w:rsidR="009426A0" w:rsidRPr="00E67306" w:rsidRDefault="009426A0" w:rsidP="000F7E03">
      <w:pPr>
        <w:pStyle w:val="ListParagraph"/>
        <w:numPr>
          <w:ilvl w:val="0"/>
          <w:numId w:val="1"/>
        </w:numPr>
        <w:spacing w:after="0" w:line="240" w:lineRule="auto"/>
        <w:rPr>
          <w:lang w:val="en-GB"/>
        </w:rPr>
      </w:pPr>
      <w:r>
        <w:rPr>
          <w:lang w:val="en-GB"/>
        </w:rPr>
        <w:t>3% of Children’s Centres have closed, though these are mostly mergers – fewer children’s centres doesn’t necessarily mean less provision</w:t>
      </w:r>
    </w:p>
    <w:p w:rsidR="003A0AFD" w:rsidRPr="003A0AFD" w:rsidRDefault="003A0AFD" w:rsidP="000F7E03">
      <w:pPr>
        <w:pStyle w:val="ListParagraph"/>
        <w:numPr>
          <w:ilvl w:val="0"/>
          <w:numId w:val="1"/>
        </w:numPr>
        <w:spacing w:after="0" w:line="240" w:lineRule="auto"/>
        <w:rPr>
          <w:lang w:val="en-GB"/>
        </w:rPr>
      </w:pPr>
      <w:r>
        <w:rPr>
          <w:lang w:val="en-GB"/>
        </w:rPr>
        <w:t xml:space="preserve">Local </w:t>
      </w:r>
      <w:r w:rsidR="000F7E03">
        <w:rPr>
          <w:lang w:val="en-GB"/>
        </w:rPr>
        <w:t>government</w:t>
      </w:r>
      <w:r>
        <w:rPr>
          <w:lang w:val="en-GB"/>
        </w:rPr>
        <w:t xml:space="preserve"> means that people don’t make an over arching decision</w:t>
      </w:r>
      <w:r w:rsidR="000F7E03">
        <w:rPr>
          <w:lang w:val="en-GB"/>
        </w:rPr>
        <w:t xml:space="preserve">s, and need to have the ability to respond to </w:t>
      </w:r>
      <w:r w:rsidR="002A176C">
        <w:rPr>
          <w:lang w:val="en-GB"/>
        </w:rPr>
        <w:t>local circumstances</w:t>
      </w:r>
    </w:p>
    <w:p w:rsidR="00192C89" w:rsidRDefault="00192C89" w:rsidP="000F7E03">
      <w:pPr>
        <w:spacing w:after="0" w:line="240" w:lineRule="auto"/>
        <w:rPr>
          <w:b/>
          <w:lang w:val="en-GB"/>
        </w:rPr>
      </w:pPr>
    </w:p>
    <w:p w:rsidR="00E67306" w:rsidRPr="00BC76E2" w:rsidRDefault="00E67306" w:rsidP="000F7E03">
      <w:pPr>
        <w:spacing w:after="0" w:line="240" w:lineRule="auto"/>
        <w:rPr>
          <w:lang w:val="en-GB"/>
        </w:rPr>
      </w:pPr>
      <w:r w:rsidRPr="00BC76E2">
        <w:rPr>
          <w:b/>
          <w:lang w:val="en-GB"/>
        </w:rPr>
        <w:t>Question: Do LA’s have enough information to share best practice? Are there any gaps for the LGA to fill</w:t>
      </w:r>
      <w:r w:rsidRPr="00BC76E2">
        <w:rPr>
          <w:lang w:val="en-GB"/>
        </w:rPr>
        <w:t>?</w:t>
      </w:r>
    </w:p>
    <w:p w:rsidR="00E67306" w:rsidRDefault="00E67306" w:rsidP="000F7E03">
      <w:pPr>
        <w:pStyle w:val="ListParagraph"/>
        <w:numPr>
          <w:ilvl w:val="0"/>
          <w:numId w:val="1"/>
        </w:numPr>
        <w:spacing w:after="0" w:line="240" w:lineRule="auto"/>
        <w:rPr>
          <w:lang w:val="en-GB"/>
        </w:rPr>
      </w:pPr>
      <w:r>
        <w:rPr>
          <w:lang w:val="en-GB"/>
        </w:rPr>
        <w:t>LGA ‘does what it can’ to g</w:t>
      </w:r>
      <w:r w:rsidR="002A176C">
        <w:rPr>
          <w:lang w:val="en-GB"/>
        </w:rPr>
        <w:t>et all members on the same page</w:t>
      </w:r>
    </w:p>
    <w:p w:rsidR="00192C89" w:rsidRDefault="002A176C" w:rsidP="00192C89">
      <w:pPr>
        <w:pStyle w:val="ListParagraph"/>
        <w:numPr>
          <w:ilvl w:val="0"/>
          <w:numId w:val="1"/>
        </w:numPr>
        <w:spacing w:after="0" w:line="240" w:lineRule="auto"/>
        <w:rPr>
          <w:lang w:val="en-GB"/>
        </w:rPr>
      </w:pPr>
      <w:r>
        <w:rPr>
          <w:lang w:val="en-GB"/>
        </w:rPr>
        <w:t>It is</w:t>
      </w:r>
      <w:r w:rsidR="00192C89" w:rsidRPr="00E67306">
        <w:rPr>
          <w:lang w:val="en-GB"/>
        </w:rPr>
        <w:t xml:space="preserve"> not directly involved in </w:t>
      </w:r>
      <w:r w:rsidR="00192C89">
        <w:rPr>
          <w:lang w:val="en-GB"/>
        </w:rPr>
        <w:t>sharing best practic</w:t>
      </w:r>
      <w:r w:rsidR="00192C89" w:rsidRPr="00E67306">
        <w:rPr>
          <w:lang w:val="en-GB"/>
        </w:rPr>
        <w:t>e</w:t>
      </w:r>
      <w:r w:rsidR="00192C89">
        <w:rPr>
          <w:lang w:val="en-GB"/>
        </w:rPr>
        <w:t xml:space="preserve"> – </w:t>
      </w:r>
      <w:r w:rsidR="00192C89" w:rsidRPr="00E67306">
        <w:rPr>
          <w:lang w:val="en-GB"/>
        </w:rPr>
        <w:t>but</w:t>
      </w:r>
      <w:r w:rsidR="00192C89">
        <w:rPr>
          <w:lang w:val="en-GB"/>
        </w:rPr>
        <w:t xml:space="preserve"> aim to improve performance and service delivery via the</w:t>
      </w:r>
      <w:r w:rsidR="00192C89" w:rsidRPr="00E67306">
        <w:rPr>
          <w:lang w:val="en-GB"/>
        </w:rPr>
        <w:t xml:space="preserve"> Children’s </w:t>
      </w:r>
      <w:r w:rsidR="00192C89">
        <w:rPr>
          <w:lang w:val="en-GB"/>
        </w:rPr>
        <w:t>Improvement</w:t>
      </w:r>
      <w:r w:rsidR="00192C89" w:rsidRPr="00E67306">
        <w:rPr>
          <w:lang w:val="en-GB"/>
        </w:rPr>
        <w:t xml:space="preserve"> Board</w:t>
      </w:r>
    </w:p>
    <w:p w:rsidR="002A176C" w:rsidRPr="002A176C" w:rsidRDefault="002A176C" w:rsidP="002A176C">
      <w:pPr>
        <w:pStyle w:val="ListParagraph"/>
        <w:numPr>
          <w:ilvl w:val="0"/>
          <w:numId w:val="1"/>
        </w:numPr>
        <w:spacing w:after="0" w:line="240" w:lineRule="auto"/>
        <w:rPr>
          <w:lang w:val="en-GB"/>
        </w:rPr>
      </w:pPr>
      <w:r>
        <w:rPr>
          <w:lang w:val="en-GB"/>
        </w:rPr>
        <w:t xml:space="preserve">There is some difficulty in </w:t>
      </w:r>
      <w:r w:rsidR="00D777CE">
        <w:rPr>
          <w:lang w:val="en-GB"/>
        </w:rPr>
        <w:t xml:space="preserve">sharing best practice – we cannot conclude that </w:t>
      </w:r>
      <w:r w:rsidR="005F7942">
        <w:rPr>
          <w:lang w:val="en-GB"/>
        </w:rPr>
        <w:t>the</w:t>
      </w:r>
      <w:r>
        <w:rPr>
          <w:lang w:val="en-GB"/>
        </w:rPr>
        <w:t xml:space="preserve"> best model somewhere is a best model elsewhere</w:t>
      </w:r>
    </w:p>
    <w:p w:rsidR="00AD7524" w:rsidRDefault="000B0809" w:rsidP="00AD7524">
      <w:pPr>
        <w:pStyle w:val="ListParagraph"/>
        <w:numPr>
          <w:ilvl w:val="0"/>
          <w:numId w:val="1"/>
        </w:numPr>
        <w:spacing w:after="0" w:line="240" w:lineRule="auto"/>
        <w:rPr>
          <w:lang w:val="en-GB"/>
        </w:rPr>
      </w:pPr>
      <w:r w:rsidRPr="00E67306">
        <w:rPr>
          <w:lang w:val="en-GB"/>
        </w:rPr>
        <w:t xml:space="preserve">The LGA isn’t </w:t>
      </w:r>
      <w:r w:rsidR="001B5249" w:rsidRPr="00E67306">
        <w:rPr>
          <w:lang w:val="en-GB"/>
        </w:rPr>
        <w:t>prescriptive</w:t>
      </w:r>
      <w:r w:rsidR="00AD7524">
        <w:rPr>
          <w:lang w:val="en-GB"/>
        </w:rPr>
        <w:t>, members lead the organisation</w:t>
      </w:r>
    </w:p>
    <w:p w:rsidR="00AD7524" w:rsidRPr="00AD7524" w:rsidRDefault="00AD7524" w:rsidP="00AD7524">
      <w:pPr>
        <w:pStyle w:val="ListParagraph"/>
        <w:numPr>
          <w:ilvl w:val="0"/>
          <w:numId w:val="1"/>
        </w:numPr>
        <w:spacing w:after="0" w:line="240" w:lineRule="auto"/>
        <w:rPr>
          <w:lang w:val="en-GB"/>
        </w:rPr>
      </w:pPr>
      <w:r>
        <w:rPr>
          <w:lang w:val="en-GB"/>
        </w:rPr>
        <w:t>Members share information in regional networks, and gather best practice in that way</w:t>
      </w:r>
    </w:p>
    <w:p w:rsidR="000B0809" w:rsidRPr="00E67306" w:rsidRDefault="00AD7524" w:rsidP="000F7E03">
      <w:pPr>
        <w:pStyle w:val="ListParagraph"/>
        <w:numPr>
          <w:ilvl w:val="0"/>
          <w:numId w:val="1"/>
        </w:numPr>
        <w:spacing w:after="0" w:line="240" w:lineRule="auto"/>
        <w:rPr>
          <w:lang w:val="en-GB"/>
        </w:rPr>
      </w:pPr>
      <w:r>
        <w:rPr>
          <w:lang w:val="en-GB"/>
        </w:rPr>
        <w:t xml:space="preserve">Information may be shared </w:t>
      </w:r>
      <w:r w:rsidR="000B0809" w:rsidRPr="00E67306">
        <w:rPr>
          <w:lang w:val="en-GB"/>
        </w:rPr>
        <w:t xml:space="preserve">in party groups more openly than in </w:t>
      </w:r>
      <w:r w:rsidR="00E67306">
        <w:rPr>
          <w:lang w:val="en-GB"/>
        </w:rPr>
        <w:t>general</w:t>
      </w:r>
      <w:r w:rsidR="000B0809" w:rsidRPr="00E67306">
        <w:rPr>
          <w:lang w:val="en-GB"/>
        </w:rPr>
        <w:t xml:space="preserve"> networks</w:t>
      </w:r>
    </w:p>
    <w:p w:rsidR="002A176C" w:rsidRDefault="002A176C" w:rsidP="000F7E03">
      <w:pPr>
        <w:spacing w:after="0" w:line="240" w:lineRule="auto"/>
        <w:rPr>
          <w:b/>
          <w:lang w:val="en-GB"/>
        </w:rPr>
      </w:pPr>
    </w:p>
    <w:p w:rsidR="000B0809" w:rsidRPr="00BC76E2" w:rsidRDefault="000B0809" w:rsidP="000F7E03">
      <w:pPr>
        <w:spacing w:after="0" w:line="240" w:lineRule="auto"/>
        <w:rPr>
          <w:b/>
          <w:lang w:val="en-GB"/>
        </w:rPr>
      </w:pPr>
      <w:r w:rsidRPr="00BC76E2">
        <w:rPr>
          <w:b/>
          <w:lang w:val="en-GB"/>
        </w:rPr>
        <w:t>Question: How well are health partnerships working across local authorities?</w:t>
      </w:r>
    </w:p>
    <w:p w:rsidR="00AD7524" w:rsidRDefault="000B0809" w:rsidP="000F7E03">
      <w:pPr>
        <w:pStyle w:val="ListParagraph"/>
        <w:numPr>
          <w:ilvl w:val="0"/>
          <w:numId w:val="1"/>
        </w:numPr>
        <w:spacing w:after="0" w:line="240" w:lineRule="auto"/>
        <w:rPr>
          <w:lang w:val="en-GB"/>
        </w:rPr>
      </w:pPr>
      <w:r w:rsidRPr="00E67306">
        <w:rPr>
          <w:lang w:val="en-GB"/>
        </w:rPr>
        <w:t>Can’t say</w:t>
      </w:r>
      <w:r w:rsidR="002E6282">
        <w:rPr>
          <w:lang w:val="en-GB"/>
        </w:rPr>
        <w:t xml:space="preserve"> – will provide more information later</w:t>
      </w:r>
    </w:p>
    <w:p w:rsidR="002E6282" w:rsidRPr="002E6282" w:rsidRDefault="002E6282" w:rsidP="002E6282">
      <w:pPr>
        <w:pStyle w:val="ListParagraph"/>
        <w:spacing w:after="0" w:line="240" w:lineRule="auto"/>
        <w:ind w:left="360"/>
        <w:rPr>
          <w:lang w:val="en-GB"/>
        </w:rPr>
      </w:pPr>
    </w:p>
    <w:p w:rsidR="00D675E8" w:rsidRDefault="00D675E8" w:rsidP="000F7E03">
      <w:pPr>
        <w:spacing w:after="0" w:line="240" w:lineRule="auto"/>
        <w:rPr>
          <w:b/>
          <w:lang w:val="en-GB"/>
        </w:rPr>
      </w:pPr>
      <w:r>
        <w:rPr>
          <w:b/>
          <w:lang w:val="en-GB"/>
        </w:rPr>
        <w:t>THE LGA S</w:t>
      </w:r>
      <w:r w:rsidR="002E6282">
        <w:rPr>
          <w:b/>
          <w:lang w:val="en-GB"/>
        </w:rPr>
        <w:t>UPPLEMENTED THIS INTERVIEW WITH WRITTEN INFORMATION, ATTACHED AT ANNEXE A</w:t>
      </w:r>
    </w:p>
    <w:p w:rsidR="00D675E8" w:rsidRDefault="00D675E8" w:rsidP="000F7E03">
      <w:pPr>
        <w:spacing w:after="0" w:line="240" w:lineRule="auto"/>
        <w:rPr>
          <w:b/>
          <w:lang w:val="en-GB"/>
        </w:rPr>
      </w:pPr>
    </w:p>
    <w:p w:rsidR="000B0809" w:rsidRPr="00B407BC" w:rsidRDefault="00DB05EF" w:rsidP="000F7E03">
      <w:pPr>
        <w:spacing w:after="0" w:line="240" w:lineRule="auto"/>
        <w:rPr>
          <w:u w:val="single"/>
          <w:lang w:val="en-GB"/>
        </w:rPr>
      </w:pPr>
      <w:r w:rsidRPr="00B407BC">
        <w:rPr>
          <w:u w:val="single"/>
          <w:lang w:val="en-GB"/>
        </w:rPr>
        <w:t xml:space="preserve">Nick Whitfield </w:t>
      </w:r>
      <w:r w:rsidR="00AA5748" w:rsidRPr="00B407BC">
        <w:rPr>
          <w:u w:val="single"/>
          <w:lang w:val="en-GB"/>
        </w:rPr>
        <w:t xml:space="preserve">(DCS) </w:t>
      </w:r>
      <w:r w:rsidRPr="00B407BC">
        <w:rPr>
          <w:u w:val="single"/>
          <w:lang w:val="en-GB"/>
        </w:rPr>
        <w:t xml:space="preserve">and Cllr Christine Percival for </w:t>
      </w:r>
      <w:r w:rsidR="000B0809" w:rsidRPr="00B407BC">
        <w:rPr>
          <w:u w:val="single"/>
          <w:lang w:val="en-GB"/>
        </w:rPr>
        <w:t>Richmond</w:t>
      </w:r>
      <w:r w:rsidR="00AA5748" w:rsidRPr="00B407BC">
        <w:rPr>
          <w:u w:val="single"/>
          <w:lang w:val="en-GB"/>
        </w:rPr>
        <w:t>-Upon-Thames Council</w:t>
      </w:r>
    </w:p>
    <w:p w:rsidR="004A727B" w:rsidRDefault="004A727B" w:rsidP="004A727B">
      <w:pPr>
        <w:pStyle w:val="ListParagraph"/>
        <w:numPr>
          <w:ilvl w:val="0"/>
          <w:numId w:val="2"/>
        </w:numPr>
        <w:spacing w:after="0" w:line="240" w:lineRule="auto"/>
        <w:rPr>
          <w:lang w:val="en-GB"/>
        </w:rPr>
      </w:pPr>
      <w:r>
        <w:rPr>
          <w:lang w:val="en-GB"/>
        </w:rPr>
        <w:t xml:space="preserve">Richmond </w:t>
      </w:r>
      <w:r w:rsidR="00542933">
        <w:rPr>
          <w:lang w:val="en-GB"/>
        </w:rPr>
        <w:t>currently has</w:t>
      </w:r>
      <w:r>
        <w:rPr>
          <w:lang w:val="en-GB"/>
        </w:rPr>
        <w:t xml:space="preserve"> </w:t>
      </w:r>
      <w:r w:rsidR="00542933">
        <w:rPr>
          <w:lang w:val="en-GB"/>
        </w:rPr>
        <w:t>seven</w:t>
      </w:r>
      <w:r w:rsidRPr="00E67306">
        <w:rPr>
          <w:lang w:val="en-GB"/>
        </w:rPr>
        <w:t xml:space="preserve"> </w:t>
      </w:r>
      <w:r w:rsidR="00542933">
        <w:rPr>
          <w:lang w:val="en-GB"/>
        </w:rPr>
        <w:t xml:space="preserve">children’s </w:t>
      </w:r>
      <w:r w:rsidRPr="00E67306">
        <w:rPr>
          <w:lang w:val="en-GB"/>
        </w:rPr>
        <w:t>centr</w:t>
      </w:r>
      <w:r w:rsidR="00542933">
        <w:rPr>
          <w:lang w:val="en-GB"/>
        </w:rPr>
        <w:t>es in 10 buildings</w:t>
      </w:r>
      <w:r w:rsidRPr="00E67306">
        <w:rPr>
          <w:lang w:val="en-GB"/>
        </w:rPr>
        <w:t xml:space="preserve">, </w:t>
      </w:r>
      <w:r>
        <w:rPr>
          <w:lang w:val="en-GB"/>
        </w:rPr>
        <w:t xml:space="preserve">and </w:t>
      </w:r>
      <w:r w:rsidRPr="00E67306">
        <w:rPr>
          <w:lang w:val="en-GB"/>
        </w:rPr>
        <w:t>will have 8 centres in 11 buildings in 12 months</w:t>
      </w:r>
      <w:r>
        <w:rPr>
          <w:lang w:val="en-GB"/>
        </w:rPr>
        <w:t xml:space="preserve"> time</w:t>
      </w:r>
      <w:r w:rsidR="00542933">
        <w:rPr>
          <w:lang w:val="en-GB"/>
        </w:rPr>
        <w:t>. This compares</w:t>
      </w:r>
      <w:r w:rsidR="00410FA2">
        <w:rPr>
          <w:lang w:val="en-GB"/>
        </w:rPr>
        <w:t xml:space="preserve"> to a previous target of 12 overall</w:t>
      </w:r>
      <w:r w:rsidR="00542933">
        <w:rPr>
          <w:lang w:val="en-GB"/>
        </w:rPr>
        <w:t>, set in 2008</w:t>
      </w:r>
      <w:r w:rsidR="00410FA2">
        <w:rPr>
          <w:lang w:val="en-GB"/>
        </w:rPr>
        <w:t>.</w:t>
      </w:r>
      <w:r w:rsidR="005916CC">
        <w:rPr>
          <w:lang w:val="en-GB"/>
        </w:rPr>
        <w:t xml:space="preserve"> The cuts to the capital grant have affected progress on the remaining centres.</w:t>
      </w:r>
    </w:p>
    <w:p w:rsidR="000C3163" w:rsidRDefault="000C3163" w:rsidP="000F7E03">
      <w:pPr>
        <w:pStyle w:val="ListParagraph"/>
        <w:numPr>
          <w:ilvl w:val="0"/>
          <w:numId w:val="2"/>
        </w:numPr>
        <w:spacing w:after="0" w:line="240" w:lineRule="auto"/>
        <w:rPr>
          <w:lang w:val="en-GB"/>
        </w:rPr>
      </w:pPr>
      <w:r w:rsidRPr="00E67306">
        <w:rPr>
          <w:lang w:val="en-GB"/>
        </w:rPr>
        <w:t xml:space="preserve">Two centres which specialises in </w:t>
      </w:r>
      <w:r w:rsidR="005916CC">
        <w:rPr>
          <w:lang w:val="en-GB"/>
        </w:rPr>
        <w:t xml:space="preserve">supporting </w:t>
      </w:r>
      <w:r w:rsidRPr="00E67306">
        <w:rPr>
          <w:lang w:val="en-GB"/>
        </w:rPr>
        <w:t>children</w:t>
      </w:r>
      <w:r w:rsidR="005916CC">
        <w:rPr>
          <w:lang w:val="en-GB"/>
        </w:rPr>
        <w:t xml:space="preserve"> with learning disabilities</w:t>
      </w:r>
    </w:p>
    <w:p w:rsidR="00D32699" w:rsidRDefault="00D32699" w:rsidP="00D32699">
      <w:pPr>
        <w:pStyle w:val="ListParagraph"/>
        <w:numPr>
          <w:ilvl w:val="0"/>
          <w:numId w:val="2"/>
        </w:numPr>
        <w:spacing w:after="0" w:line="240" w:lineRule="auto"/>
        <w:rPr>
          <w:lang w:val="en-GB"/>
        </w:rPr>
      </w:pPr>
      <w:r>
        <w:rPr>
          <w:lang w:val="en-GB"/>
        </w:rPr>
        <w:t>Outreach and family support sits above Child centres so there’s an overreaching responsibility</w:t>
      </w:r>
    </w:p>
    <w:p w:rsidR="00D32699" w:rsidRDefault="00D32699" w:rsidP="00D32699">
      <w:pPr>
        <w:pStyle w:val="ListParagraph"/>
        <w:numPr>
          <w:ilvl w:val="0"/>
          <w:numId w:val="2"/>
        </w:numPr>
        <w:spacing w:after="0" w:line="240" w:lineRule="auto"/>
        <w:rPr>
          <w:lang w:val="en-GB"/>
        </w:rPr>
      </w:pPr>
      <w:r>
        <w:rPr>
          <w:lang w:val="en-GB"/>
        </w:rPr>
        <w:t>A lot of commissioning to the VCS multi agency approach stops people from falling through the gaps</w:t>
      </w:r>
    </w:p>
    <w:p w:rsidR="00C64908" w:rsidRPr="00C64908" w:rsidRDefault="00C64908" w:rsidP="00C64908">
      <w:pPr>
        <w:pStyle w:val="ListParagraph"/>
        <w:numPr>
          <w:ilvl w:val="0"/>
          <w:numId w:val="2"/>
        </w:numPr>
        <w:spacing w:after="0" w:line="240" w:lineRule="auto"/>
        <w:rPr>
          <w:lang w:val="en-GB"/>
        </w:rPr>
      </w:pPr>
      <w:r w:rsidRPr="00E67306">
        <w:rPr>
          <w:lang w:val="en-GB"/>
        </w:rPr>
        <w:lastRenderedPageBreak/>
        <w:t>Want a long term commitment to early intervention; want a commitment to continue the family intervention grant beyond the next 2 years.</w:t>
      </w:r>
    </w:p>
    <w:p w:rsidR="00931956" w:rsidRDefault="00931956" w:rsidP="00931956">
      <w:pPr>
        <w:spacing w:after="0" w:line="240" w:lineRule="auto"/>
        <w:rPr>
          <w:lang w:val="en-GB"/>
        </w:rPr>
      </w:pPr>
    </w:p>
    <w:p w:rsidR="00931956" w:rsidRPr="00931956" w:rsidRDefault="00931956" w:rsidP="00931956">
      <w:pPr>
        <w:spacing w:after="0" w:line="240" w:lineRule="auto"/>
        <w:rPr>
          <w:b/>
          <w:lang w:val="en-GB"/>
        </w:rPr>
      </w:pPr>
      <w:r>
        <w:rPr>
          <w:b/>
          <w:lang w:val="en-GB"/>
        </w:rPr>
        <w:t>Question: What has been the impact of the cuts?</w:t>
      </w:r>
    </w:p>
    <w:p w:rsidR="005916CC" w:rsidRPr="005916CC" w:rsidRDefault="005916CC" w:rsidP="005916CC">
      <w:pPr>
        <w:pStyle w:val="ListParagraph"/>
        <w:numPr>
          <w:ilvl w:val="0"/>
          <w:numId w:val="2"/>
        </w:numPr>
        <w:spacing w:after="0" w:line="240" w:lineRule="auto"/>
        <w:rPr>
          <w:lang w:val="en-GB"/>
        </w:rPr>
      </w:pPr>
      <w:r>
        <w:rPr>
          <w:lang w:val="en-GB"/>
        </w:rPr>
        <w:t>The removal of the Sure Start ring-fence has been a positive move – and has allowed much more budget flexibility</w:t>
      </w:r>
    </w:p>
    <w:p w:rsidR="003A0AFD" w:rsidRDefault="003A0AFD" w:rsidP="000F7E03">
      <w:pPr>
        <w:pStyle w:val="ListParagraph"/>
        <w:numPr>
          <w:ilvl w:val="0"/>
          <w:numId w:val="2"/>
        </w:numPr>
        <w:spacing w:after="0" w:line="240" w:lineRule="auto"/>
        <w:rPr>
          <w:lang w:val="en-GB"/>
        </w:rPr>
      </w:pPr>
      <w:r>
        <w:rPr>
          <w:lang w:val="en-GB"/>
        </w:rPr>
        <w:t>Council saved the money by cutting back the managerial oversight</w:t>
      </w:r>
      <w:r w:rsidR="0004525A">
        <w:rPr>
          <w:lang w:val="en-GB"/>
        </w:rPr>
        <w:t>, and is spending £80k more in 2012/12 than in 2011/12</w:t>
      </w:r>
    </w:p>
    <w:p w:rsidR="003A0AFD" w:rsidRDefault="00931956" w:rsidP="000F7E03">
      <w:pPr>
        <w:pStyle w:val="ListParagraph"/>
        <w:numPr>
          <w:ilvl w:val="0"/>
          <w:numId w:val="2"/>
        </w:numPr>
        <w:spacing w:after="0" w:line="240" w:lineRule="auto"/>
        <w:rPr>
          <w:lang w:val="en-GB"/>
        </w:rPr>
      </w:pPr>
      <w:r>
        <w:rPr>
          <w:lang w:val="en-GB"/>
        </w:rPr>
        <w:t>Some private provision for c</w:t>
      </w:r>
      <w:r w:rsidR="003A0AFD">
        <w:rPr>
          <w:lang w:val="en-GB"/>
        </w:rPr>
        <w:t>hi</w:t>
      </w:r>
      <w:r>
        <w:rPr>
          <w:lang w:val="en-GB"/>
        </w:rPr>
        <w:t>ldren’s centres are being considered – in Richmond these can be reliably self funding</w:t>
      </w:r>
    </w:p>
    <w:p w:rsidR="00D32699" w:rsidRDefault="00D32699" w:rsidP="000F7E03">
      <w:pPr>
        <w:spacing w:after="0" w:line="240" w:lineRule="auto"/>
        <w:rPr>
          <w:b/>
          <w:lang w:val="en-GB"/>
        </w:rPr>
      </w:pPr>
    </w:p>
    <w:p w:rsidR="00407FF1" w:rsidRPr="00BC76E2" w:rsidRDefault="00D32699" w:rsidP="000F7E03">
      <w:pPr>
        <w:spacing w:after="0" w:line="240" w:lineRule="auto"/>
        <w:rPr>
          <w:lang w:val="en-GB"/>
        </w:rPr>
      </w:pPr>
      <w:r>
        <w:rPr>
          <w:b/>
          <w:lang w:val="en-GB"/>
        </w:rPr>
        <w:t>Question: How do you evaluate</w:t>
      </w:r>
      <w:r w:rsidR="0012568F" w:rsidRPr="00BC76E2">
        <w:rPr>
          <w:b/>
          <w:lang w:val="en-GB"/>
        </w:rPr>
        <w:t xml:space="preserve"> </w:t>
      </w:r>
      <w:r w:rsidR="00FD52EA">
        <w:rPr>
          <w:b/>
          <w:lang w:val="en-GB"/>
        </w:rPr>
        <w:t>the success of your centres</w:t>
      </w:r>
      <w:r w:rsidR="0012568F" w:rsidRPr="00BC76E2">
        <w:rPr>
          <w:b/>
          <w:lang w:val="en-GB"/>
        </w:rPr>
        <w:t>?</w:t>
      </w:r>
    </w:p>
    <w:p w:rsidR="006F1DCB" w:rsidRPr="0012568F" w:rsidRDefault="00FD52EA" w:rsidP="000F7E03">
      <w:pPr>
        <w:pStyle w:val="ListParagraph"/>
        <w:numPr>
          <w:ilvl w:val="0"/>
          <w:numId w:val="2"/>
        </w:numPr>
        <w:spacing w:after="0" w:line="240" w:lineRule="auto"/>
        <w:rPr>
          <w:lang w:val="en-GB"/>
        </w:rPr>
      </w:pPr>
      <w:r>
        <w:rPr>
          <w:lang w:val="en-GB"/>
        </w:rPr>
        <w:t>Will mai</w:t>
      </w:r>
      <w:r w:rsidR="006F1DCB">
        <w:rPr>
          <w:lang w:val="en-GB"/>
        </w:rPr>
        <w:t>nt</w:t>
      </w:r>
      <w:r>
        <w:rPr>
          <w:lang w:val="en-GB"/>
        </w:rPr>
        <w:t>ain existing</w:t>
      </w:r>
      <w:r w:rsidR="006F1DCB">
        <w:rPr>
          <w:lang w:val="en-GB"/>
        </w:rPr>
        <w:t xml:space="preserve"> reports and evaluation</w:t>
      </w:r>
      <w:r>
        <w:rPr>
          <w:lang w:val="en-GB"/>
        </w:rPr>
        <w:t xml:space="preserve"> procedures,</w:t>
      </w:r>
      <w:r w:rsidR="006F1DCB">
        <w:rPr>
          <w:lang w:val="en-GB"/>
        </w:rPr>
        <w:t xml:space="preserve"> despite</w:t>
      </w:r>
      <w:r>
        <w:rPr>
          <w:lang w:val="en-GB"/>
        </w:rPr>
        <w:t xml:space="preserve"> them</w:t>
      </w:r>
      <w:r w:rsidR="006F1DCB">
        <w:rPr>
          <w:lang w:val="en-GB"/>
        </w:rPr>
        <w:t xml:space="preserve"> becoming non-statutory</w:t>
      </w:r>
      <w:r w:rsidR="000F0DEF">
        <w:rPr>
          <w:lang w:val="en-GB"/>
        </w:rPr>
        <w:t>.</w:t>
      </w:r>
    </w:p>
    <w:p w:rsidR="00FD52EA" w:rsidRDefault="00FD52EA" w:rsidP="00FD52EA">
      <w:pPr>
        <w:spacing w:after="0" w:line="240" w:lineRule="auto"/>
        <w:rPr>
          <w:lang w:val="en-GB"/>
        </w:rPr>
      </w:pPr>
    </w:p>
    <w:p w:rsidR="00FD52EA" w:rsidRPr="00FD52EA" w:rsidRDefault="00FD52EA" w:rsidP="00FD52EA">
      <w:pPr>
        <w:spacing w:after="0" w:line="240" w:lineRule="auto"/>
        <w:rPr>
          <w:b/>
          <w:lang w:val="en-GB"/>
        </w:rPr>
      </w:pPr>
      <w:r>
        <w:rPr>
          <w:b/>
          <w:lang w:val="en-GB"/>
        </w:rPr>
        <w:t>Question: Why has the achievement gap between the top 20% and bottom 20% of respondents widened in Richmond?</w:t>
      </w:r>
    </w:p>
    <w:p w:rsidR="00485E7A" w:rsidRPr="00485E7A" w:rsidRDefault="00485E7A" w:rsidP="000F7E03">
      <w:pPr>
        <w:pStyle w:val="ListParagraph"/>
        <w:numPr>
          <w:ilvl w:val="0"/>
          <w:numId w:val="2"/>
        </w:numPr>
        <w:spacing w:after="0" w:line="240" w:lineRule="auto"/>
        <w:rPr>
          <w:lang w:val="en-GB"/>
        </w:rPr>
      </w:pPr>
      <w:r>
        <w:rPr>
          <w:lang w:val="en-GB"/>
        </w:rPr>
        <w:t xml:space="preserve">Attainment </w:t>
      </w:r>
      <w:r w:rsidR="000422CE">
        <w:rPr>
          <w:lang w:val="en-GB"/>
        </w:rPr>
        <w:t xml:space="preserve">gap widening </w:t>
      </w:r>
      <w:r>
        <w:rPr>
          <w:lang w:val="en-GB"/>
        </w:rPr>
        <w:t>is due to high achievement and low numbers</w:t>
      </w:r>
      <w:r w:rsidR="000F0DEF">
        <w:rPr>
          <w:lang w:val="en-GB"/>
        </w:rPr>
        <w:t xml:space="preserve"> of respondents</w:t>
      </w:r>
    </w:p>
    <w:p w:rsidR="000F0DEF" w:rsidRDefault="000F0DEF" w:rsidP="000F0DEF">
      <w:pPr>
        <w:spacing w:after="0" w:line="240" w:lineRule="auto"/>
        <w:rPr>
          <w:lang w:val="en-GB"/>
        </w:rPr>
      </w:pPr>
    </w:p>
    <w:p w:rsidR="000F0DEF" w:rsidRPr="000F0DEF" w:rsidRDefault="000F0DEF" w:rsidP="000F0DEF">
      <w:pPr>
        <w:spacing w:after="0" w:line="240" w:lineRule="auto"/>
        <w:rPr>
          <w:b/>
          <w:lang w:val="en-GB"/>
        </w:rPr>
      </w:pPr>
      <w:r>
        <w:rPr>
          <w:b/>
          <w:lang w:val="en-GB"/>
        </w:rPr>
        <w:t>Question: Do you deal effectively with disability</w:t>
      </w:r>
      <w:r w:rsidR="00C64908">
        <w:rPr>
          <w:b/>
          <w:lang w:val="en-GB"/>
        </w:rPr>
        <w:t xml:space="preserve"> and diversity</w:t>
      </w:r>
      <w:r>
        <w:rPr>
          <w:b/>
          <w:lang w:val="en-GB"/>
        </w:rPr>
        <w:t xml:space="preserve"> in your local authority?</w:t>
      </w:r>
    </w:p>
    <w:p w:rsidR="006B4890" w:rsidRPr="00E67306" w:rsidRDefault="006B4890" w:rsidP="000F7E03">
      <w:pPr>
        <w:pStyle w:val="ListParagraph"/>
        <w:numPr>
          <w:ilvl w:val="0"/>
          <w:numId w:val="2"/>
        </w:numPr>
        <w:spacing w:after="0" w:line="240" w:lineRule="auto"/>
        <w:rPr>
          <w:lang w:val="en-GB"/>
        </w:rPr>
      </w:pPr>
      <w:r w:rsidRPr="00E67306">
        <w:rPr>
          <w:lang w:val="en-GB"/>
        </w:rPr>
        <w:t>Disability services are quite advanced, but do not provide enough respite care</w:t>
      </w:r>
    </w:p>
    <w:p w:rsidR="006B4890" w:rsidRDefault="006B4890" w:rsidP="000F7E03">
      <w:pPr>
        <w:pStyle w:val="ListParagraph"/>
        <w:numPr>
          <w:ilvl w:val="0"/>
          <w:numId w:val="2"/>
        </w:numPr>
        <w:spacing w:after="0" w:line="240" w:lineRule="auto"/>
        <w:rPr>
          <w:lang w:val="en-GB"/>
        </w:rPr>
      </w:pPr>
      <w:r w:rsidRPr="00E67306">
        <w:rPr>
          <w:lang w:val="en-GB"/>
        </w:rPr>
        <w:t xml:space="preserve">Specialist speech and language support </w:t>
      </w:r>
      <w:r w:rsidR="00C64908">
        <w:rPr>
          <w:lang w:val="en-GB"/>
        </w:rPr>
        <w:t xml:space="preserve">is </w:t>
      </w:r>
      <w:r w:rsidRPr="00E67306">
        <w:rPr>
          <w:lang w:val="en-GB"/>
        </w:rPr>
        <w:t>offered, but supply of therapists in not high enough nationwide</w:t>
      </w:r>
    </w:p>
    <w:p w:rsidR="00C64908" w:rsidRDefault="00C64908" w:rsidP="00C64908">
      <w:pPr>
        <w:pStyle w:val="ListParagraph"/>
        <w:numPr>
          <w:ilvl w:val="0"/>
          <w:numId w:val="2"/>
        </w:numPr>
        <w:spacing w:after="0" w:line="240" w:lineRule="auto"/>
        <w:rPr>
          <w:lang w:val="en-GB"/>
        </w:rPr>
      </w:pPr>
      <w:r w:rsidRPr="00E67306">
        <w:rPr>
          <w:lang w:val="en-GB"/>
        </w:rPr>
        <w:t>People with E</w:t>
      </w:r>
      <w:r>
        <w:rPr>
          <w:lang w:val="en-GB"/>
        </w:rPr>
        <w:t>nglish as a second language</w:t>
      </w:r>
      <w:r w:rsidRPr="00E67306">
        <w:rPr>
          <w:lang w:val="en-GB"/>
        </w:rPr>
        <w:t xml:space="preserve"> are particularly at risk in South London</w:t>
      </w:r>
    </w:p>
    <w:p w:rsidR="00C64908" w:rsidRPr="00C64908" w:rsidRDefault="00C64908" w:rsidP="00C64908">
      <w:pPr>
        <w:pStyle w:val="ListParagraph"/>
        <w:numPr>
          <w:ilvl w:val="0"/>
          <w:numId w:val="2"/>
        </w:numPr>
        <w:spacing w:after="0" w:line="240" w:lineRule="auto"/>
        <w:rPr>
          <w:lang w:val="en-GB"/>
        </w:rPr>
      </w:pPr>
      <w:r>
        <w:rPr>
          <w:lang w:val="en-GB"/>
        </w:rPr>
        <w:t>A range of outreach services have been used to really get in contact with ESL and different cultures. E.g. use of use of education regarding healthcare in Korean communities.</w:t>
      </w:r>
    </w:p>
    <w:p w:rsidR="00C64908" w:rsidRDefault="00C64908" w:rsidP="000F7E03">
      <w:pPr>
        <w:spacing w:after="0" w:line="240" w:lineRule="auto"/>
        <w:rPr>
          <w:b/>
          <w:lang w:val="en-GB"/>
        </w:rPr>
      </w:pPr>
    </w:p>
    <w:p w:rsidR="000C3163" w:rsidRPr="00B407BC" w:rsidRDefault="00C64908" w:rsidP="000F7E03">
      <w:pPr>
        <w:spacing w:after="0" w:line="240" w:lineRule="auto"/>
        <w:rPr>
          <w:u w:val="single"/>
          <w:lang w:val="en-GB"/>
        </w:rPr>
      </w:pPr>
      <w:r w:rsidRPr="00B407BC">
        <w:rPr>
          <w:u w:val="single"/>
          <w:lang w:val="en-GB"/>
        </w:rPr>
        <w:t>Jenny Andrews</w:t>
      </w:r>
      <w:r w:rsidR="00AA5748" w:rsidRPr="00B407BC">
        <w:rPr>
          <w:u w:val="single"/>
          <w:lang w:val="en-GB"/>
        </w:rPr>
        <w:t xml:space="preserve"> (Ass. DCS)</w:t>
      </w:r>
      <w:r w:rsidRPr="00B407BC">
        <w:rPr>
          <w:u w:val="single"/>
          <w:lang w:val="en-GB"/>
        </w:rPr>
        <w:t xml:space="preserve"> for </w:t>
      </w:r>
      <w:r w:rsidR="000C3163" w:rsidRPr="00B407BC">
        <w:rPr>
          <w:u w:val="single"/>
          <w:lang w:val="en-GB"/>
        </w:rPr>
        <w:t xml:space="preserve">Manchester </w:t>
      </w:r>
      <w:r w:rsidR="00AA5748" w:rsidRPr="00B407BC">
        <w:rPr>
          <w:u w:val="single"/>
          <w:lang w:val="en-GB"/>
        </w:rPr>
        <w:t>City Council</w:t>
      </w:r>
    </w:p>
    <w:p w:rsidR="005F24A8" w:rsidRPr="005F24A8" w:rsidRDefault="00C64908" w:rsidP="005F24A8">
      <w:pPr>
        <w:pStyle w:val="ListParagraph"/>
        <w:numPr>
          <w:ilvl w:val="0"/>
          <w:numId w:val="3"/>
        </w:numPr>
        <w:spacing w:after="0" w:line="240" w:lineRule="auto"/>
        <w:rPr>
          <w:lang w:val="en-GB"/>
        </w:rPr>
      </w:pPr>
      <w:r>
        <w:rPr>
          <w:lang w:val="en-GB"/>
        </w:rPr>
        <w:t xml:space="preserve">Manchester have </w:t>
      </w:r>
      <w:r w:rsidR="000C3163" w:rsidRPr="00E67306">
        <w:rPr>
          <w:lang w:val="en-GB"/>
        </w:rPr>
        <w:t>64 centres,</w:t>
      </w:r>
      <w:r>
        <w:rPr>
          <w:lang w:val="en-GB"/>
        </w:rPr>
        <w:t xml:space="preserve"> of which</w:t>
      </w:r>
      <w:r w:rsidR="000C3163" w:rsidRPr="00E67306">
        <w:rPr>
          <w:lang w:val="en-GB"/>
        </w:rPr>
        <w:t xml:space="preserve"> 40</w:t>
      </w:r>
      <w:r>
        <w:rPr>
          <w:lang w:val="en-GB"/>
        </w:rPr>
        <w:t xml:space="preserve"> are</w:t>
      </w:r>
      <w:r w:rsidR="000C3163" w:rsidRPr="00E67306">
        <w:rPr>
          <w:lang w:val="en-GB"/>
        </w:rPr>
        <w:t xml:space="preserve"> </w:t>
      </w:r>
      <w:r w:rsidR="00DE7224">
        <w:rPr>
          <w:lang w:val="en-GB"/>
        </w:rPr>
        <w:t xml:space="preserve">designated </w:t>
      </w:r>
      <w:r>
        <w:rPr>
          <w:lang w:val="en-GB"/>
        </w:rPr>
        <w:t>S</w:t>
      </w:r>
      <w:r w:rsidR="000C3163" w:rsidRPr="00E67306">
        <w:rPr>
          <w:lang w:val="en-GB"/>
        </w:rPr>
        <w:t xml:space="preserve">ure </w:t>
      </w:r>
      <w:r>
        <w:rPr>
          <w:lang w:val="en-GB"/>
        </w:rPr>
        <w:t>Start</w:t>
      </w:r>
      <w:r w:rsidR="00DE7224">
        <w:rPr>
          <w:lang w:val="en-GB"/>
        </w:rPr>
        <w:t>, and will still have 64 centres in 12 months tim</w:t>
      </w:r>
      <w:r w:rsidR="005F24A8">
        <w:rPr>
          <w:lang w:val="en-GB"/>
        </w:rPr>
        <w:t xml:space="preserve">e. </w:t>
      </w:r>
      <w:r w:rsidR="005F24A8" w:rsidRPr="005F24A8">
        <w:rPr>
          <w:lang w:val="en-GB"/>
        </w:rPr>
        <w:t>These centres include 6 specialist learning difficulty centres</w:t>
      </w:r>
      <w:r w:rsidR="005F24A8">
        <w:rPr>
          <w:lang w:val="en-GB"/>
        </w:rPr>
        <w:t>.</w:t>
      </w:r>
    </w:p>
    <w:p w:rsidR="000C3163" w:rsidRPr="0074002C" w:rsidRDefault="005843B0" w:rsidP="005F24A8">
      <w:pPr>
        <w:pStyle w:val="ListParagraph"/>
        <w:numPr>
          <w:ilvl w:val="0"/>
          <w:numId w:val="3"/>
        </w:numPr>
        <w:spacing w:after="0" w:line="240" w:lineRule="auto"/>
        <w:rPr>
          <w:lang w:val="en-GB"/>
        </w:rPr>
      </w:pPr>
      <w:r w:rsidRPr="0074002C">
        <w:rPr>
          <w:lang w:val="en-GB"/>
        </w:rPr>
        <w:t>C</w:t>
      </w:r>
      <w:r w:rsidR="005F24A8" w:rsidRPr="0074002C">
        <w:rPr>
          <w:lang w:val="en-GB"/>
        </w:rPr>
        <w:t>ommunity engagement is key to success</w:t>
      </w:r>
      <w:r w:rsidR="0074002C" w:rsidRPr="0074002C">
        <w:rPr>
          <w:lang w:val="en-GB"/>
        </w:rPr>
        <w:t xml:space="preserve"> – those centres linked with schools</w:t>
      </w:r>
      <w:r w:rsidR="0074002C">
        <w:rPr>
          <w:lang w:val="en-GB"/>
        </w:rPr>
        <w:t xml:space="preserve"> are delivering the best results</w:t>
      </w:r>
    </w:p>
    <w:p w:rsidR="00CD2DF0" w:rsidRPr="00CD2DF0" w:rsidRDefault="00DE7224" w:rsidP="000F7E03">
      <w:pPr>
        <w:pStyle w:val="ListParagraph"/>
        <w:numPr>
          <w:ilvl w:val="0"/>
          <w:numId w:val="3"/>
        </w:numPr>
        <w:spacing w:after="0" w:line="240" w:lineRule="auto"/>
        <w:rPr>
          <w:lang w:val="en-GB"/>
        </w:rPr>
      </w:pPr>
      <w:r>
        <w:rPr>
          <w:lang w:val="en-GB"/>
        </w:rPr>
        <w:t xml:space="preserve">Manchester are using the </w:t>
      </w:r>
      <w:r w:rsidR="00684CA2">
        <w:rPr>
          <w:lang w:val="en-GB"/>
        </w:rPr>
        <w:t xml:space="preserve">Total Place Initiative to develop an outreach service, </w:t>
      </w:r>
      <w:r w:rsidR="00CD2DF0">
        <w:rPr>
          <w:lang w:val="en-GB"/>
        </w:rPr>
        <w:t xml:space="preserve">maintaining </w:t>
      </w:r>
      <w:r>
        <w:rPr>
          <w:lang w:val="en-GB"/>
        </w:rPr>
        <w:t xml:space="preserve">the </w:t>
      </w:r>
      <w:r w:rsidR="00CD2DF0">
        <w:rPr>
          <w:lang w:val="en-GB"/>
        </w:rPr>
        <w:t>Sure Start offer, but also using buildings for the community</w:t>
      </w:r>
    </w:p>
    <w:p w:rsidR="00D330BE" w:rsidRDefault="00D330BE" w:rsidP="00D330BE">
      <w:pPr>
        <w:spacing w:after="0" w:line="240" w:lineRule="auto"/>
        <w:rPr>
          <w:lang w:val="en-GB"/>
        </w:rPr>
      </w:pPr>
    </w:p>
    <w:p w:rsidR="00D330BE" w:rsidRPr="00D330BE" w:rsidRDefault="00D330BE" w:rsidP="00D330BE">
      <w:pPr>
        <w:spacing w:after="0" w:line="240" w:lineRule="auto"/>
        <w:rPr>
          <w:b/>
          <w:lang w:val="en-GB"/>
        </w:rPr>
      </w:pPr>
      <w:r>
        <w:rPr>
          <w:b/>
          <w:lang w:val="en-GB"/>
        </w:rPr>
        <w:t>Question: What is the basis for the current service reforms?</w:t>
      </w:r>
    </w:p>
    <w:p w:rsidR="000150AB" w:rsidRDefault="00DE7224" w:rsidP="000F7E03">
      <w:pPr>
        <w:pStyle w:val="ListParagraph"/>
        <w:numPr>
          <w:ilvl w:val="0"/>
          <w:numId w:val="3"/>
        </w:numPr>
        <w:spacing w:after="0" w:line="240" w:lineRule="auto"/>
        <w:rPr>
          <w:lang w:val="en-GB"/>
        </w:rPr>
      </w:pPr>
      <w:r>
        <w:rPr>
          <w:lang w:val="en-GB"/>
        </w:rPr>
        <w:t xml:space="preserve">Manchester </w:t>
      </w:r>
      <w:r w:rsidR="009443A8">
        <w:rPr>
          <w:lang w:val="en-GB"/>
        </w:rPr>
        <w:t>had a problem with identifying</w:t>
      </w:r>
      <w:r w:rsidR="000150AB" w:rsidRPr="00E67306">
        <w:rPr>
          <w:lang w:val="en-GB"/>
        </w:rPr>
        <w:t xml:space="preserve"> families that were most in need, so </w:t>
      </w:r>
      <w:r w:rsidR="00902F97">
        <w:rPr>
          <w:lang w:val="en-GB"/>
        </w:rPr>
        <w:t>focussing on</w:t>
      </w:r>
      <w:r w:rsidR="000150AB" w:rsidRPr="00E67306">
        <w:rPr>
          <w:lang w:val="en-GB"/>
        </w:rPr>
        <w:t xml:space="preserve"> home visits in </w:t>
      </w:r>
      <w:r w:rsidR="009443A8">
        <w:rPr>
          <w:lang w:val="en-GB"/>
        </w:rPr>
        <w:t xml:space="preserve">the </w:t>
      </w:r>
      <w:r w:rsidR="00902F97">
        <w:rPr>
          <w:lang w:val="en-GB"/>
        </w:rPr>
        <w:t>first three months – though there is no guarantee that all families will be visited</w:t>
      </w:r>
    </w:p>
    <w:p w:rsidR="00902F97" w:rsidRPr="00E67306" w:rsidRDefault="00902F97" w:rsidP="000F7E03">
      <w:pPr>
        <w:pStyle w:val="ListParagraph"/>
        <w:numPr>
          <w:ilvl w:val="0"/>
          <w:numId w:val="3"/>
        </w:numPr>
        <w:spacing w:after="0" w:line="240" w:lineRule="auto"/>
        <w:rPr>
          <w:lang w:val="en-GB"/>
        </w:rPr>
      </w:pPr>
      <w:r>
        <w:rPr>
          <w:lang w:val="en-GB"/>
        </w:rPr>
        <w:t>This service will be supplemented by written information sent by post regarding child development, and the availability of local services</w:t>
      </w:r>
    </w:p>
    <w:p w:rsidR="000150AB" w:rsidRDefault="009443A8" w:rsidP="000F7E03">
      <w:pPr>
        <w:pStyle w:val="ListParagraph"/>
        <w:numPr>
          <w:ilvl w:val="0"/>
          <w:numId w:val="3"/>
        </w:numPr>
        <w:spacing w:after="0" w:line="240" w:lineRule="auto"/>
        <w:rPr>
          <w:lang w:val="en-GB"/>
        </w:rPr>
      </w:pPr>
      <w:r>
        <w:rPr>
          <w:lang w:val="en-GB"/>
        </w:rPr>
        <w:t xml:space="preserve">This </w:t>
      </w:r>
      <w:r w:rsidR="004F05FC">
        <w:rPr>
          <w:lang w:val="en-GB"/>
        </w:rPr>
        <w:t>expansion in outreach will run alongside the expanded H</w:t>
      </w:r>
      <w:r w:rsidR="00836F33" w:rsidRPr="00E67306">
        <w:rPr>
          <w:lang w:val="en-GB"/>
        </w:rPr>
        <w:t xml:space="preserve">ealth </w:t>
      </w:r>
      <w:r w:rsidR="004F05FC">
        <w:rPr>
          <w:lang w:val="en-GB"/>
        </w:rPr>
        <w:t>Visitor programme</w:t>
      </w:r>
    </w:p>
    <w:p w:rsidR="00D330BE" w:rsidRDefault="00D330BE" w:rsidP="000F7E03">
      <w:pPr>
        <w:pStyle w:val="ListParagraph"/>
        <w:numPr>
          <w:ilvl w:val="0"/>
          <w:numId w:val="3"/>
        </w:numPr>
        <w:spacing w:after="0" w:line="240" w:lineRule="auto"/>
        <w:rPr>
          <w:lang w:val="en-GB"/>
        </w:rPr>
      </w:pPr>
      <w:r>
        <w:rPr>
          <w:lang w:val="en-GB"/>
        </w:rPr>
        <w:t>All centres will be run by paid staff</w:t>
      </w:r>
    </w:p>
    <w:p w:rsidR="00D330BE" w:rsidRPr="00E67306" w:rsidRDefault="00D330BE" w:rsidP="00D330BE">
      <w:pPr>
        <w:pStyle w:val="ListParagraph"/>
        <w:numPr>
          <w:ilvl w:val="0"/>
          <w:numId w:val="3"/>
        </w:numPr>
        <w:spacing w:after="0" w:line="240" w:lineRule="auto"/>
        <w:rPr>
          <w:lang w:val="en-GB"/>
        </w:rPr>
      </w:pPr>
      <w:r>
        <w:rPr>
          <w:lang w:val="en-GB"/>
        </w:rPr>
        <w:t>Considering charging for stay and play sessions to counteract decreasing budget</w:t>
      </w:r>
    </w:p>
    <w:p w:rsidR="001B6BF1" w:rsidRPr="00E67306" w:rsidRDefault="001B6BF1" w:rsidP="001B6BF1">
      <w:pPr>
        <w:pStyle w:val="ListParagraph"/>
        <w:numPr>
          <w:ilvl w:val="0"/>
          <w:numId w:val="3"/>
        </w:numPr>
        <w:spacing w:after="0" w:line="240" w:lineRule="auto"/>
        <w:rPr>
          <w:lang w:val="en-GB"/>
        </w:rPr>
      </w:pPr>
      <w:r>
        <w:rPr>
          <w:lang w:val="en-GB"/>
        </w:rPr>
        <w:t>0-18 is the best form of family support, with the youth club too – so trying to build stronger family involvement</w:t>
      </w:r>
    </w:p>
    <w:p w:rsidR="00C64908" w:rsidRDefault="00C64908" w:rsidP="000F7E03">
      <w:pPr>
        <w:spacing w:after="0" w:line="240" w:lineRule="auto"/>
        <w:rPr>
          <w:b/>
          <w:lang w:val="en-GB"/>
        </w:rPr>
      </w:pPr>
    </w:p>
    <w:p w:rsidR="00350274" w:rsidRPr="00BC76E2" w:rsidRDefault="00350274" w:rsidP="000F7E03">
      <w:pPr>
        <w:spacing w:after="0" w:line="240" w:lineRule="auto"/>
        <w:rPr>
          <w:lang w:val="en-GB"/>
        </w:rPr>
      </w:pPr>
      <w:r w:rsidRPr="00BC76E2">
        <w:rPr>
          <w:b/>
          <w:lang w:val="en-GB"/>
        </w:rPr>
        <w:t xml:space="preserve">Question: How many families (0-5) </w:t>
      </w:r>
      <w:r w:rsidR="001B5249" w:rsidRPr="00BC76E2">
        <w:rPr>
          <w:b/>
          <w:lang w:val="en-GB"/>
        </w:rPr>
        <w:t>is</w:t>
      </w:r>
      <w:r w:rsidRPr="00BC76E2">
        <w:rPr>
          <w:b/>
          <w:lang w:val="en-GB"/>
        </w:rPr>
        <w:t xml:space="preserve"> each local authority in contact with</w:t>
      </w:r>
      <w:r w:rsidRPr="00BC76E2">
        <w:rPr>
          <w:lang w:val="en-GB"/>
        </w:rPr>
        <w:t>?</w:t>
      </w:r>
    </w:p>
    <w:p w:rsidR="00350274" w:rsidRDefault="00902F97" w:rsidP="000F7E03">
      <w:pPr>
        <w:pStyle w:val="ListParagraph"/>
        <w:numPr>
          <w:ilvl w:val="0"/>
          <w:numId w:val="3"/>
        </w:numPr>
        <w:spacing w:after="0" w:line="240" w:lineRule="auto"/>
        <w:rPr>
          <w:lang w:val="en-GB"/>
        </w:rPr>
      </w:pPr>
      <w:r>
        <w:rPr>
          <w:lang w:val="en-GB"/>
        </w:rPr>
        <w:lastRenderedPageBreak/>
        <w:t xml:space="preserve">Manchester </w:t>
      </w:r>
      <w:r w:rsidR="0074002C">
        <w:rPr>
          <w:lang w:val="en-GB"/>
        </w:rPr>
        <w:t>reaches</w:t>
      </w:r>
      <w:r>
        <w:rPr>
          <w:lang w:val="en-GB"/>
        </w:rPr>
        <w:t xml:space="preserve"> </w:t>
      </w:r>
      <w:r w:rsidR="00350274">
        <w:rPr>
          <w:lang w:val="en-GB"/>
        </w:rPr>
        <w:t>35,000 children</w:t>
      </w:r>
      <w:r w:rsidR="0074002C">
        <w:rPr>
          <w:lang w:val="en-GB"/>
        </w:rPr>
        <w:t xml:space="preserve"> per year</w:t>
      </w:r>
      <w:r w:rsidR="00350274">
        <w:rPr>
          <w:lang w:val="en-GB"/>
        </w:rPr>
        <w:t xml:space="preserve">, </w:t>
      </w:r>
      <w:r>
        <w:rPr>
          <w:lang w:val="en-GB"/>
        </w:rPr>
        <w:t xml:space="preserve">which accounts for </w:t>
      </w:r>
      <w:r w:rsidR="00350274">
        <w:rPr>
          <w:lang w:val="en-GB"/>
        </w:rPr>
        <w:t xml:space="preserve">25% </w:t>
      </w:r>
      <w:r w:rsidR="001B5249">
        <w:rPr>
          <w:lang w:val="en-GB"/>
        </w:rPr>
        <w:t>of</w:t>
      </w:r>
      <w:r>
        <w:rPr>
          <w:lang w:val="en-GB"/>
        </w:rPr>
        <w:t xml:space="preserve"> children in the region</w:t>
      </w:r>
      <w:r w:rsidR="0074002C">
        <w:rPr>
          <w:lang w:val="en-GB"/>
        </w:rPr>
        <w:t>. They are</w:t>
      </w:r>
      <w:r w:rsidR="00350274">
        <w:rPr>
          <w:lang w:val="en-GB"/>
        </w:rPr>
        <w:t xml:space="preserve"> </w:t>
      </w:r>
      <w:r w:rsidR="005F24A8">
        <w:rPr>
          <w:lang w:val="en-GB"/>
        </w:rPr>
        <w:t>committed to widening access.</w:t>
      </w:r>
    </w:p>
    <w:p w:rsidR="005F24A8" w:rsidRDefault="005F24A8" w:rsidP="000F7E03">
      <w:pPr>
        <w:pStyle w:val="ListParagraph"/>
        <w:numPr>
          <w:ilvl w:val="0"/>
          <w:numId w:val="3"/>
        </w:numPr>
        <w:spacing w:after="0" w:line="240" w:lineRule="auto"/>
        <w:rPr>
          <w:lang w:val="en-GB"/>
        </w:rPr>
      </w:pPr>
      <w:r>
        <w:rPr>
          <w:lang w:val="en-GB"/>
        </w:rPr>
        <w:t>The current pilot has successfully reached 80% of children in the pilot area, and Manchester are keen to replicate this across the city</w:t>
      </w:r>
    </w:p>
    <w:p w:rsidR="00902F97" w:rsidRDefault="00902F97" w:rsidP="000F7E03">
      <w:pPr>
        <w:spacing w:after="0" w:line="240" w:lineRule="auto"/>
        <w:rPr>
          <w:b/>
          <w:lang w:val="en-GB"/>
        </w:rPr>
      </w:pPr>
    </w:p>
    <w:p w:rsidR="00851D2B" w:rsidRPr="00BC76E2" w:rsidRDefault="0012568F" w:rsidP="000F7E03">
      <w:pPr>
        <w:spacing w:after="0" w:line="240" w:lineRule="auto"/>
        <w:rPr>
          <w:lang w:val="en-GB"/>
        </w:rPr>
      </w:pPr>
      <w:r w:rsidRPr="00BC76E2">
        <w:rPr>
          <w:b/>
          <w:lang w:val="en-GB"/>
        </w:rPr>
        <w:t>Question: How does evaluation work?</w:t>
      </w:r>
    </w:p>
    <w:p w:rsidR="006B4890" w:rsidRPr="0012568F" w:rsidRDefault="006B4890" w:rsidP="000F7E03">
      <w:pPr>
        <w:pStyle w:val="ListParagraph"/>
        <w:numPr>
          <w:ilvl w:val="0"/>
          <w:numId w:val="3"/>
        </w:numPr>
        <w:spacing w:after="0" w:line="240" w:lineRule="auto"/>
        <w:rPr>
          <w:lang w:val="en-GB"/>
        </w:rPr>
      </w:pPr>
      <w:r w:rsidRPr="0012568F">
        <w:rPr>
          <w:lang w:val="en-GB"/>
        </w:rPr>
        <w:t>Will need to be much more sophisticated than it has been so far. Work in progress.</w:t>
      </w:r>
    </w:p>
    <w:p w:rsidR="00E67306" w:rsidRDefault="00E67306" w:rsidP="000F7E03">
      <w:pPr>
        <w:pStyle w:val="ListParagraph"/>
        <w:numPr>
          <w:ilvl w:val="0"/>
          <w:numId w:val="3"/>
        </w:numPr>
        <w:spacing w:after="0" w:line="240" w:lineRule="auto"/>
        <w:rPr>
          <w:lang w:val="en-GB"/>
        </w:rPr>
      </w:pPr>
      <w:r w:rsidRPr="00E67306">
        <w:rPr>
          <w:lang w:val="en-GB"/>
        </w:rPr>
        <w:t>Used to provide excellent services but there are tiny service cuts-hope that the services can continue to deliver.</w:t>
      </w:r>
    </w:p>
    <w:p w:rsidR="001B6BF1" w:rsidRDefault="001B6BF1" w:rsidP="000F7E03">
      <w:pPr>
        <w:spacing w:after="0" w:line="240" w:lineRule="auto"/>
        <w:rPr>
          <w:b/>
          <w:lang w:val="en-GB"/>
        </w:rPr>
      </w:pPr>
    </w:p>
    <w:p w:rsidR="000C3163" w:rsidRPr="00B407BC" w:rsidRDefault="001B6BF1" w:rsidP="001B6BF1">
      <w:pPr>
        <w:spacing w:after="0" w:line="240" w:lineRule="auto"/>
        <w:rPr>
          <w:u w:val="single"/>
          <w:lang w:val="en-GB"/>
        </w:rPr>
      </w:pPr>
      <w:r w:rsidRPr="00B407BC">
        <w:rPr>
          <w:u w:val="single"/>
          <w:lang w:val="en-GB"/>
        </w:rPr>
        <w:t>Trevor Doughty</w:t>
      </w:r>
      <w:r w:rsidR="00F80F7B" w:rsidRPr="00B407BC">
        <w:rPr>
          <w:u w:val="single"/>
          <w:lang w:val="en-GB"/>
        </w:rPr>
        <w:t xml:space="preserve"> (DCS)</w:t>
      </w:r>
      <w:r w:rsidRPr="00B407BC">
        <w:rPr>
          <w:u w:val="single"/>
          <w:lang w:val="en-GB"/>
        </w:rPr>
        <w:t xml:space="preserve"> and Cllr Neil Burden for </w:t>
      </w:r>
      <w:r w:rsidR="000C3163" w:rsidRPr="00B407BC">
        <w:rPr>
          <w:u w:val="single"/>
          <w:lang w:val="en-GB"/>
        </w:rPr>
        <w:t>Cornwall</w:t>
      </w:r>
      <w:r w:rsidR="00F80F7B" w:rsidRPr="00B407BC">
        <w:rPr>
          <w:u w:val="single"/>
          <w:lang w:val="en-GB"/>
        </w:rPr>
        <w:t xml:space="preserve"> County Council</w:t>
      </w:r>
    </w:p>
    <w:p w:rsidR="00666A1E" w:rsidRPr="0032271E" w:rsidRDefault="00666A1E" w:rsidP="0032271E">
      <w:pPr>
        <w:pStyle w:val="ListParagraph"/>
        <w:numPr>
          <w:ilvl w:val="0"/>
          <w:numId w:val="3"/>
        </w:numPr>
        <w:spacing w:after="0" w:line="240" w:lineRule="auto"/>
        <w:rPr>
          <w:lang w:val="en-GB"/>
        </w:rPr>
      </w:pPr>
      <w:r>
        <w:rPr>
          <w:lang w:val="en-GB"/>
        </w:rPr>
        <w:t xml:space="preserve">Cornwall is a very large local authority, which poses some problems for </w:t>
      </w:r>
      <w:r w:rsidR="0032271E">
        <w:rPr>
          <w:lang w:val="en-GB"/>
        </w:rPr>
        <w:t>the council – s</w:t>
      </w:r>
      <w:r w:rsidRPr="0032271E">
        <w:rPr>
          <w:lang w:val="en-GB"/>
        </w:rPr>
        <w:t>ome</w:t>
      </w:r>
      <w:r w:rsidR="0032271E">
        <w:rPr>
          <w:lang w:val="en-GB"/>
        </w:rPr>
        <w:t xml:space="preserve"> good</w:t>
      </w:r>
      <w:r w:rsidRPr="0032271E">
        <w:rPr>
          <w:lang w:val="en-GB"/>
        </w:rPr>
        <w:t xml:space="preserve"> </w:t>
      </w:r>
      <w:r w:rsidR="0032271E">
        <w:rPr>
          <w:lang w:val="en-GB"/>
        </w:rPr>
        <w:t>outreach work from</w:t>
      </w:r>
      <w:r w:rsidRPr="0032271E">
        <w:rPr>
          <w:lang w:val="en-GB"/>
        </w:rPr>
        <w:t xml:space="preserve"> children’s centre</w:t>
      </w:r>
      <w:r w:rsidR="0032271E">
        <w:rPr>
          <w:lang w:val="en-GB"/>
        </w:rPr>
        <w:t>s, but the service is s</w:t>
      </w:r>
      <w:r w:rsidRPr="0032271E">
        <w:rPr>
          <w:lang w:val="en-GB"/>
        </w:rPr>
        <w:t>till patchy in some</w:t>
      </w:r>
      <w:r w:rsidR="0032271E">
        <w:rPr>
          <w:lang w:val="en-GB"/>
        </w:rPr>
        <w:t xml:space="preserve"> areas</w:t>
      </w:r>
    </w:p>
    <w:p w:rsidR="008857BF" w:rsidRDefault="008857BF" w:rsidP="008857BF">
      <w:pPr>
        <w:pStyle w:val="ListParagraph"/>
        <w:numPr>
          <w:ilvl w:val="0"/>
          <w:numId w:val="3"/>
        </w:numPr>
        <w:spacing w:after="0" w:line="240" w:lineRule="auto"/>
        <w:rPr>
          <w:lang w:val="en-GB"/>
        </w:rPr>
      </w:pPr>
      <w:r>
        <w:rPr>
          <w:lang w:val="en-GB"/>
        </w:rPr>
        <w:t>Cornwall is going from 40 centres to 18 centre hubs – though there are no plans to close individual buildings (currently numbering 53)</w:t>
      </w:r>
    </w:p>
    <w:p w:rsidR="008857BF" w:rsidRDefault="008857BF" w:rsidP="00666A1E">
      <w:pPr>
        <w:pStyle w:val="ListParagraph"/>
        <w:numPr>
          <w:ilvl w:val="0"/>
          <w:numId w:val="3"/>
        </w:numPr>
        <w:spacing w:after="0" w:line="240" w:lineRule="auto"/>
        <w:rPr>
          <w:lang w:val="en-GB"/>
        </w:rPr>
      </w:pPr>
      <w:r w:rsidRPr="00E67306">
        <w:rPr>
          <w:lang w:val="en-GB"/>
        </w:rPr>
        <w:t>7 speech and language specialist schools in Cornwall and 4 child development centres in Cornwall.</w:t>
      </w:r>
    </w:p>
    <w:p w:rsidR="00666A1E" w:rsidRDefault="0032271E" w:rsidP="00666A1E">
      <w:pPr>
        <w:pStyle w:val="ListParagraph"/>
        <w:numPr>
          <w:ilvl w:val="0"/>
          <w:numId w:val="3"/>
        </w:numPr>
        <w:spacing w:after="0" w:line="240" w:lineRule="auto"/>
        <w:rPr>
          <w:lang w:val="en-GB"/>
        </w:rPr>
      </w:pPr>
      <w:r>
        <w:rPr>
          <w:lang w:val="en-GB"/>
        </w:rPr>
        <w:t>Plans to build stronger links with health and midwifery are central to future outreach plans</w:t>
      </w:r>
    </w:p>
    <w:p w:rsidR="00666A1E" w:rsidRDefault="0032271E" w:rsidP="00666A1E">
      <w:pPr>
        <w:pStyle w:val="ListParagraph"/>
        <w:numPr>
          <w:ilvl w:val="0"/>
          <w:numId w:val="3"/>
        </w:numPr>
        <w:spacing w:after="0" w:line="240" w:lineRule="auto"/>
        <w:rPr>
          <w:lang w:val="en-GB"/>
        </w:rPr>
      </w:pPr>
      <w:r>
        <w:rPr>
          <w:lang w:val="en-GB"/>
        </w:rPr>
        <w:t xml:space="preserve">The </w:t>
      </w:r>
      <w:r w:rsidR="00666A1E">
        <w:rPr>
          <w:lang w:val="en-GB"/>
        </w:rPr>
        <w:t xml:space="preserve">Health and </w:t>
      </w:r>
      <w:r>
        <w:rPr>
          <w:lang w:val="en-GB"/>
        </w:rPr>
        <w:t>W</w:t>
      </w:r>
      <w:r w:rsidR="00666A1E">
        <w:rPr>
          <w:lang w:val="en-GB"/>
        </w:rPr>
        <w:t xml:space="preserve">ellbeing </w:t>
      </w:r>
      <w:r>
        <w:rPr>
          <w:lang w:val="en-GB"/>
        </w:rPr>
        <w:t>B</w:t>
      </w:r>
      <w:r w:rsidR="00666A1E">
        <w:rPr>
          <w:lang w:val="en-GB"/>
        </w:rPr>
        <w:t>oard can be a springboard to get</w:t>
      </w:r>
      <w:r>
        <w:rPr>
          <w:lang w:val="en-GB"/>
        </w:rPr>
        <w:t xml:space="preserve"> GPs </w:t>
      </w:r>
      <w:r w:rsidR="006811BE">
        <w:rPr>
          <w:lang w:val="en-GB"/>
        </w:rPr>
        <w:t>connected</w:t>
      </w:r>
    </w:p>
    <w:p w:rsidR="00666A1E" w:rsidRDefault="00666A1E" w:rsidP="00666A1E">
      <w:pPr>
        <w:spacing w:after="0" w:line="240" w:lineRule="auto"/>
        <w:rPr>
          <w:lang w:val="en-GB"/>
        </w:rPr>
      </w:pPr>
    </w:p>
    <w:p w:rsidR="00666A1E" w:rsidRPr="00666A1E" w:rsidRDefault="00666A1E" w:rsidP="00666A1E">
      <w:pPr>
        <w:spacing w:after="0" w:line="240" w:lineRule="auto"/>
        <w:rPr>
          <w:b/>
          <w:lang w:val="en-GB"/>
        </w:rPr>
      </w:pPr>
      <w:r>
        <w:rPr>
          <w:b/>
          <w:lang w:val="en-GB"/>
        </w:rPr>
        <w:t>Question: What has been the impact of the cuts in Cornwall?</w:t>
      </w:r>
    </w:p>
    <w:p w:rsidR="00194A46" w:rsidRDefault="00F80F7B" w:rsidP="000F7E03">
      <w:pPr>
        <w:pStyle w:val="ListParagraph"/>
        <w:numPr>
          <w:ilvl w:val="0"/>
          <w:numId w:val="3"/>
        </w:numPr>
        <w:spacing w:after="0" w:line="240" w:lineRule="auto"/>
        <w:rPr>
          <w:lang w:val="en-GB"/>
        </w:rPr>
      </w:pPr>
      <w:r>
        <w:rPr>
          <w:lang w:val="en-GB"/>
        </w:rPr>
        <w:t xml:space="preserve">Facing a </w:t>
      </w:r>
      <w:r w:rsidR="00194A46" w:rsidRPr="00E67306">
        <w:rPr>
          <w:lang w:val="en-GB"/>
        </w:rPr>
        <w:t>£3m budget cut</w:t>
      </w:r>
      <w:r>
        <w:rPr>
          <w:lang w:val="en-GB"/>
        </w:rPr>
        <w:t xml:space="preserve"> – Cornwall decided to go early and deep to allow the centres to offer a consistent service for as long as possible</w:t>
      </w:r>
    </w:p>
    <w:p w:rsidR="00893DB3" w:rsidRPr="00893DB3" w:rsidRDefault="00893DB3" w:rsidP="00893DB3">
      <w:pPr>
        <w:pStyle w:val="ListParagraph"/>
        <w:numPr>
          <w:ilvl w:val="0"/>
          <w:numId w:val="3"/>
        </w:numPr>
        <w:spacing w:after="0" w:line="240" w:lineRule="auto"/>
        <w:rPr>
          <w:lang w:val="en-GB"/>
        </w:rPr>
      </w:pPr>
      <w:r>
        <w:rPr>
          <w:lang w:val="en-GB"/>
        </w:rPr>
        <w:t>The centres have consulted locally to achieve budget cuts</w:t>
      </w:r>
    </w:p>
    <w:p w:rsidR="007E184C" w:rsidRDefault="00666A1E" w:rsidP="000F7E03">
      <w:pPr>
        <w:pStyle w:val="ListParagraph"/>
        <w:numPr>
          <w:ilvl w:val="0"/>
          <w:numId w:val="3"/>
        </w:numPr>
        <w:spacing w:after="0" w:line="240" w:lineRule="auto"/>
        <w:rPr>
          <w:lang w:val="en-GB"/>
        </w:rPr>
      </w:pPr>
      <w:r>
        <w:rPr>
          <w:lang w:val="en-GB"/>
        </w:rPr>
        <w:t>The money has been s</w:t>
      </w:r>
      <w:r w:rsidR="00CD2DF0">
        <w:rPr>
          <w:lang w:val="en-GB"/>
        </w:rPr>
        <w:t>aved by cutting back in managerial oversight</w:t>
      </w:r>
      <w:r>
        <w:rPr>
          <w:lang w:val="en-GB"/>
        </w:rPr>
        <w:t>, and reducing centre management</w:t>
      </w:r>
    </w:p>
    <w:p w:rsidR="00666A1E" w:rsidRPr="007E184C" w:rsidRDefault="007E184C" w:rsidP="000F7E03">
      <w:pPr>
        <w:pStyle w:val="ListParagraph"/>
        <w:numPr>
          <w:ilvl w:val="0"/>
          <w:numId w:val="3"/>
        </w:numPr>
        <w:spacing w:after="0" w:line="240" w:lineRule="auto"/>
        <w:rPr>
          <w:lang w:val="en-GB"/>
        </w:rPr>
      </w:pPr>
      <w:r w:rsidRPr="007E184C">
        <w:rPr>
          <w:lang w:val="en-GB"/>
        </w:rPr>
        <w:t>Centres will offer a large range of activities for families and more specific outreach services</w:t>
      </w:r>
    </w:p>
    <w:p w:rsidR="008857BF" w:rsidRPr="008857BF" w:rsidRDefault="007E184C" w:rsidP="008857BF">
      <w:pPr>
        <w:pStyle w:val="ListParagraph"/>
        <w:numPr>
          <w:ilvl w:val="0"/>
          <w:numId w:val="3"/>
        </w:numPr>
        <w:spacing w:after="0" w:line="240" w:lineRule="auto"/>
        <w:rPr>
          <w:lang w:val="en-GB"/>
        </w:rPr>
      </w:pPr>
      <w:r>
        <w:rPr>
          <w:lang w:val="en-GB"/>
        </w:rPr>
        <w:t>Staff will be maintained</w:t>
      </w:r>
      <w:r w:rsidR="008857BF">
        <w:rPr>
          <w:lang w:val="en-GB"/>
        </w:rPr>
        <w:t>, b</w:t>
      </w:r>
      <w:r w:rsidRPr="008857BF">
        <w:rPr>
          <w:lang w:val="en-GB"/>
        </w:rPr>
        <w:t>ut Cornwall have never offered childcare in their settings</w:t>
      </w:r>
      <w:r w:rsidR="008857BF" w:rsidRPr="008857BF">
        <w:rPr>
          <w:lang w:val="en-GB"/>
        </w:rPr>
        <w:t xml:space="preserve"> </w:t>
      </w:r>
    </w:p>
    <w:p w:rsidR="007E184C" w:rsidRPr="008857BF" w:rsidRDefault="008857BF" w:rsidP="008857BF">
      <w:pPr>
        <w:pStyle w:val="ListParagraph"/>
        <w:numPr>
          <w:ilvl w:val="0"/>
          <w:numId w:val="3"/>
        </w:numPr>
        <w:spacing w:after="0" w:line="240" w:lineRule="auto"/>
        <w:rPr>
          <w:lang w:val="en-GB"/>
        </w:rPr>
      </w:pPr>
      <w:r w:rsidRPr="00E67306">
        <w:rPr>
          <w:lang w:val="en-GB"/>
        </w:rPr>
        <w:t xml:space="preserve">Special schools take children from the age of 2, includes </w:t>
      </w:r>
      <w:r>
        <w:rPr>
          <w:lang w:val="en-GB"/>
        </w:rPr>
        <w:t>sessions in children’s centres – and Cornwall seek to embrace this model more generally</w:t>
      </w:r>
    </w:p>
    <w:p w:rsidR="008857BF" w:rsidRPr="00C36D95" w:rsidRDefault="008857BF" w:rsidP="008857BF">
      <w:pPr>
        <w:pStyle w:val="ListParagraph"/>
        <w:numPr>
          <w:ilvl w:val="0"/>
          <w:numId w:val="3"/>
        </w:numPr>
        <w:spacing w:after="0" w:line="240" w:lineRule="auto"/>
        <w:rPr>
          <w:lang w:val="en-GB"/>
        </w:rPr>
      </w:pPr>
      <w:r>
        <w:rPr>
          <w:lang w:val="en-GB"/>
        </w:rPr>
        <w:t>Fighting to maintai</w:t>
      </w:r>
      <w:r w:rsidRPr="00E67306">
        <w:rPr>
          <w:lang w:val="en-GB"/>
        </w:rPr>
        <w:t>n funding for children’s services and early intervention</w:t>
      </w:r>
    </w:p>
    <w:p w:rsidR="007E184C" w:rsidRDefault="007E184C" w:rsidP="000F7E03">
      <w:pPr>
        <w:spacing w:after="0" w:line="240" w:lineRule="auto"/>
        <w:rPr>
          <w:b/>
          <w:lang w:val="en-GB"/>
        </w:rPr>
      </w:pPr>
    </w:p>
    <w:p w:rsidR="00350274" w:rsidRPr="00BC76E2" w:rsidRDefault="00350274" w:rsidP="000F7E03">
      <w:pPr>
        <w:spacing w:after="0" w:line="240" w:lineRule="auto"/>
        <w:rPr>
          <w:lang w:val="en-GB"/>
        </w:rPr>
      </w:pPr>
      <w:r w:rsidRPr="00BC76E2">
        <w:rPr>
          <w:b/>
          <w:lang w:val="en-GB"/>
        </w:rPr>
        <w:t xml:space="preserve">Question: How many families (0-5) </w:t>
      </w:r>
      <w:r w:rsidR="001B5249" w:rsidRPr="00BC76E2">
        <w:rPr>
          <w:b/>
          <w:lang w:val="en-GB"/>
        </w:rPr>
        <w:t>is</w:t>
      </w:r>
      <w:r w:rsidRPr="00BC76E2">
        <w:rPr>
          <w:b/>
          <w:lang w:val="en-GB"/>
        </w:rPr>
        <w:t xml:space="preserve"> each local authority in contact with</w:t>
      </w:r>
      <w:r w:rsidRPr="00BC76E2">
        <w:rPr>
          <w:lang w:val="en-GB"/>
        </w:rPr>
        <w:t>?</w:t>
      </w:r>
    </w:p>
    <w:p w:rsidR="00350274" w:rsidRPr="00E67306" w:rsidRDefault="006811BE" w:rsidP="000F7E03">
      <w:pPr>
        <w:pStyle w:val="ListParagraph"/>
        <w:numPr>
          <w:ilvl w:val="0"/>
          <w:numId w:val="3"/>
        </w:numPr>
        <w:spacing w:after="0" w:line="240" w:lineRule="auto"/>
        <w:rPr>
          <w:lang w:val="en-GB"/>
        </w:rPr>
      </w:pPr>
      <w:r>
        <w:rPr>
          <w:lang w:val="en-GB"/>
        </w:rPr>
        <w:t xml:space="preserve">Cornwall </w:t>
      </w:r>
      <w:proofErr w:type="gramStart"/>
      <w:r>
        <w:rPr>
          <w:lang w:val="en-GB"/>
        </w:rPr>
        <w:t>reach</w:t>
      </w:r>
      <w:proofErr w:type="gramEnd"/>
      <w:r>
        <w:rPr>
          <w:lang w:val="en-GB"/>
        </w:rPr>
        <w:t xml:space="preserve"> </w:t>
      </w:r>
      <w:r w:rsidR="00350274">
        <w:rPr>
          <w:lang w:val="en-GB"/>
        </w:rPr>
        <w:t xml:space="preserve">57.5% of </w:t>
      </w:r>
      <w:r>
        <w:rPr>
          <w:lang w:val="en-GB"/>
        </w:rPr>
        <w:t>32,000 families with children - a</w:t>
      </w:r>
      <w:r w:rsidR="00350274">
        <w:rPr>
          <w:lang w:val="en-GB"/>
        </w:rPr>
        <w:t xml:space="preserve">round 17,000. Not </w:t>
      </w:r>
      <w:r>
        <w:rPr>
          <w:lang w:val="en-GB"/>
        </w:rPr>
        <w:t xml:space="preserve">yet </w:t>
      </w:r>
      <w:r w:rsidR="00350274">
        <w:rPr>
          <w:lang w:val="en-GB"/>
        </w:rPr>
        <w:t>enough</w:t>
      </w:r>
      <w:r>
        <w:rPr>
          <w:lang w:val="en-GB"/>
        </w:rPr>
        <w:t>, plans are to increase numbers</w:t>
      </w:r>
    </w:p>
    <w:p w:rsidR="00EE19AC" w:rsidRPr="007E184C" w:rsidRDefault="006811BE" w:rsidP="007E184C">
      <w:pPr>
        <w:pStyle w:val="ListParagraph"/>
        <w:numPr>
          <w:ilvl w:val="0"/>
          <w:numId w:val="3"/>
        </w:numPr>
        <w:spacing w:after="0" w:line="240" w:lineRule="auto"/>
        <w:rPr>
          <w:lang w:val="en-GB"/>
        </w:rPr>
      </w:pPr>
      <w:r>
        <w:rPr>
          <w:lang w:val="en-GB"/>
        </w:rPr>
        <w:t>It is v</w:t>
      </w:r>
      <w:r w:rsidR="00EE19AC" w:rsidRPr="00E67306">
        <w:rPr>
          <w:lang w:val="en-GB"/>
        </w:rPr>
        <w:t>ery difficult to engage with military families, due to very high turnover</w:t>
      </w:r>
      <w:r>
        <w:rPr>
          <w:lang w:val="en-GB"/>
        </w:rPr>
        <w:t xml:space="preserve"> and mobility – and the council is v</w:t>
      </w:r>
      <w:r w:rsidR="00EE19AC" w:rsidRPr="00E67306">
        <w:rPr>
          <w:lang w:val="en-GB"/>
        </w:rPr>
        <w:t>ery</w:t>
      </w:r>
      <w:r>
        <w:rPr>
          <w:lang w:val="en-GB"/>
        </w:rPr>
        <w:t xml:space="preserve"> concerned about these families</w:t>
      </w:r>
    </w:p>
    <w:p w:rsidR="003E128D" w:rsidRDefault="003E128D" w:rsidP="000F7E03">
      <w:pPr>
        <w:pStyle w:val="ListParagraph"/>
        <w:numPr>
          <w:ilvl w:val="0"/>
          <w:numId w:val="3"/>
        </w:numPr>
        <w:spacing w:after="0" w:line="240" w:lineRule="auto"/>
        <w:rPr>
          <w:lang w:val="en-GB"/>
        </w:rPr>
      </w:pPr>
      <w:r w:rsidRPr="00E67306">
        <w:rPr>
          <w:lang w:val="en-GB"/>
        </w:rPr>
        <w:t xml:space="preserve">No difference in service from last year to this year. Aim is to </w:t>
      </w:r>
      <w:r w:rsidR="006B4890" w:rsidRPr="00E67306">
        <w:rPr>
          <w:lang w:val="en-GB"/>
        </w:rPr>
        <w:t>ensure</w:t>
      </w:r>
      <w:r w:rsidRPr="00E67306">
        <w:rPr>
          <w:lang w:val="en-GB"/>
        </w:rPr>
        <w:t xml:space="preserve"> that parents do not feel intimidated.</w:t>
      </w:r>
    </w:p>
    <w:p w:rsidR="006811BE" w:rsidRDefault="006811BE" w:rsidP="000F7E03">
      <w:pPr>
        <w:spacing w:after="0" w:line="240" w:lineRule="auto"/>
        <w:rPr>
          <w:b/>
          <w:lang w:val="en-GB"/>
        </w:rPr>
      </w:pPr>
    </w:p>
    <w:p w:rsidR="00485E7A" w:rsidRPr="00BC76E2" w:rsidRDefault="0012568F" w:rsidP="000F7E03">
      <w:pPr>
        <w:spacing w:after="0" w:line="240" w:lineRule="auto"/>
        <w:rPr>
          <w:lang w:val="en-GB"/>
        </w:rPr>
      </w:pPr>
      <w:r w:rsidRPr="00BC76E2">
        <w:rPr>
          <w:b/>
          <w:lang w:val="en-GB"/>
        </w:rPr>
        <w:t>Question: How does evaluation work?</w:t>
      </w:r>
    </w:p>
    <w:p w:rsidR="008857BF" w:rsidRDefault="006B4890" w:rsidP="00B407BC">
      <w:pPr>
        <w:pStyle w:val="ListParagraph"/>
        <w:numPr>
          <w:ilvl w:val="0"/>
          <w:numId w:val="3"/>
        </w:numPr>
        <w:spacing w:after="0" w:line="240" w:lineRule="auto"/>
        <w:rPr>
          <w:lang w:val="en-GB"/>
        </w:rPr>
      </w:pPr>
      <w:r w:rsidRPr="00E67306">
        <w:rPr>
          <w:lang w:val="en-GB"/>
        </w:rPr>
        <w:t>Early days for overall input will n</w:t>
      </w:r>
      <w:r w:rsidR="007E184C">
        <w:rPr>
          <w:lang w:val="en-GB"/>
        </w:rPr>
        <w:t>eed to develop better analysis, but Cornwall are n</w:t>
      </w:r>
      <w:r w:rsidRPr="007E184C">
        <w:rPr>
          <w:lang w:val="en-GB"/>
        </w:rPr>
        <w:t>ot sure if Sur</w:t>
      </w:r>
      <w:r w:rsidR="007E184C" w:rsidRPr="007E184C">
        <w:rPr>
          <w:lang w:val="en-GB"/>
        </w:rPr>
        <w:t>e Start is delivering what it c</w:t>
      </w:r>
      <w:r w:rsidR="007E184C">
        <w:rPr>
          <w:lang w:val="en-GB"/>
        </w:rPr>
        <w:t>ould</w:t>
      </w:r>
    </w:p>
    <w:p w:rsidR="001A2C33" w:rsidRDefault="001A2C33" w:rsidP="001A2C33">
      <w:pPr>
        <w:spacing w:after="0" w:line="240" w:lineRule="auto"/>
        <w:rPr>
          <w:lang w:val="en-GB"/>
        </w:rPr>
      </w:pPr>
    </w:p>
    <w:p w:rsidR="001A2C33" w:rsidRDefault="001A2C33" w:rsidP="001A2C33">
      <w:pPr>
        <w:spacing w:after="0" w:line="240" w:lineRule="auto"/>
        <w:rPr>
          <w:b/>
          <w:lang w:val="en-GB"/>
        </w:rPr>
      </w:pPr>
      <w:r>
        <w:rPr>
          <w:b/>
          <w:lang w:val="en-GB"/>
        </w:rPr>
        <w:t>MEETING CLOSED</w:t>
      </w:r>
    </w:p>
    <w:p w:rsidR="001A2C33" w:rsidRDefault="001A2C33">
      <w:pPr>
        <w:rPr>
          <w:b/>
          <w:lang w:val="en-GB"/>
        </w:rPr>
      </w:pPr>
      <w:r>
        <w:rPr>
          <w:b/>
          <w:lang w:val="en-GB"/>
        </w:rPr>
        <w:br w:type="page"/>
      </w:r>
    </w:p>
    <w:tbl>
      <w:tblPr>
        <w:tblW w:w="0" w:type="auto"/>
        <w:tblLayout w:type="fixed"/>
        <w:tblCellMar>
          <w:left w:w="0" w:type="dxa"/>
          <w:right w:w="0" w:type="dxa"/>
        </w:tblCellMar>
        <w:tblLook w:val="0000"/>
      </w:tblPr>
      <w:tblGrid>
        <w:gridCol w:w="7995"/>
      </w:tblGrid>
      <w:tr w:rsidR="001A2C33" w:rsidRPr="005A5A31" w:rsidTr="001A2C33">
        <w:trPr>
          <w:trHeight w:val="400"/>
        </w:trPr>
        <w:tc>
          <w:tcPr>
            <w:tcW w:w="7995" w:type="dxa"/>
          </w:tcPr>
          <w:p w:rsidR="001A2C33" w:rsidRPr="005A5A31" w:rsidRDefault="001A2C33" w:rsidP="001A2C33">
            <w:pPr>
              <w:spacing w:after="0" w:line="240" w:lineRule="auto"/>
              <w:jc w:val="both"/>
              <w:outlineLvl w:val="0"/>
              <w:rPr>
                <w:rFonts w:cstheme="minorHAnsi"/>
                <w:b/>
                <w:color w:val="000080"/>
              </w:rPr>
            </w:pPr>
            <w:r w:rsidRPr="005A5A31">
              <w:rPr>
                <w:rFonts w:cstheme="minorHAnsi"/>
                <w:b/>
              </w:rPr>
              <w:lastRenderedPageBreak/>
              <w:t>Local Government Association’s Submission to the All Party Parliamentary Group on Sure Start’s Inquiry Session into delivery models of Sure Start Children’s Centres</w:t>
            </w:r>
          </w:p>
        </w:tc>
      </w:tr>
    </w:tbl>
    <w:p w:rsidR="005A5A31" w:rsidRPr="005A5A31" w:rsidRDefault="005A5A31" w:rsidP="001A2C33">
      <w:pPr>
        <w:spacing w:after="0" w:line="240" w:lineRule="auto"/>
        <w:ind w:right="226"/>
        <w:jc w:val="both"/>
        <w:rPr>
          <w:rFonts w:cstheme="minorHAnsi"/>
          <w:b/>
        </w:rPr>
      </w:pPr>
      <w:bookmarkStart w:id="0" w:name="bmDocumentDate"/>
      <w:bookmarkEnd w:id="0"/>
    </w:p>
    <w:p w:rsidR="001A2C33" w:rsidRPr="005A5A31" w:rsidRDefault="001A2C33" w:rsidP="001A2C33">
      <w:pPr>
        <w:spacing w:after="0" w:line="240" w:lineRule="auto"/>
        <w:ind w:right="226"/>
        <w:jc w:val="both"/>
        <w:rPr>
          <w:rFonts w:cstheme="minorHAnsi"/>
          <w:b/>
        </w:rPr>
      </w:pPr>
      <w:r w:rsidRPr="005A5A31">
        <w:rPr>
          <w:rFonts w:cstheme="minorHAnsi"/>
          <w:b/>
        </w:rPr>
        <w:t>About the LGA</w:t>
      </w:r>
    </w:p>
    <w:p w:rsidR="001A2C33" w:rsidRPr="005A5A31" w:rsidRDefault="001A2C33" w:rsidP="001A2C33">
      <w:pPr>
        <w:spacing w:after="0" w:line="240" w:lineRule="auto"/>
        <w:ind w:right="226"/>
        <w:jc w:val="both"/>
        <w:rPr>
          <w:rFonts w:cstheme="minorHAnsi"/>
        </w:rPr>
      </w:pPr>
    </w:p>
    <w:p w:rsidR="001A2C33" w:rsidRPr="005A5A31" w:rsidRDefault="001A2C33" w:rsidP="001A2C33">
      <w:pPr>
        <w:spacing w:after="0" w:line="240" w:lineRule="auto"/>
        <w:ind w:right="226"/>
        <w:jc w:val="both"/>
        <w:rPr>
          <w:rFonts w:cstheme="minorHAnsi"/>
        </w:rPr>
      </w:pPr>
      <w:r w:rsidRPr="005A5A31">
        <w:rPr>
          <w:rFonts w:cstheme="minorHAnsi"/>
        </w:rPr>
        <w:t>The Local Government Association is here to support, promote and improve local government.</w:t>
      </w:r>
    </w:p>
    <w:p w:rsidR="001A2C33" w:rsidRPr="005A5A31" w:rsidRDefault="001A2C33" w:rsidP="001A2C33">
      <w:pPr>
        <w:spacing w:after="0" w:line="240" w:lineRule="auto"/>
        <w:ind w:right="226"/>
        <w:jc w:val="both"/>
        <w:rPr>
          <w:rFonts w:cstheme="minorHAnsi"/>
        </w:rPr>
      </w:pPr>
      <w:r w:rsidRPr="005A5A31">
        <w:rPr>
          <w:rFonts w:cstheme="minorHAnsi"/>
        </w:rPr>
        <w:br/>
        <w:t xml:space="preserve">Local government is facing the most radical changes, as well as the most significant opportunities, in a decade. </w:t>
      </w:r>
    </w:p>
    <w:p w:rsidR="001A2C33" w:rsidRPr="005A5A31" w:rsidRDefault="001A2C33" w:rsidP="001A2C33">
      <w:pPr>
        <w:spacing w:after="0" w:line="240" w:lineRule="auto"/>
        <w:ind w:right="226"/>
        <w:jc w:val="both"/>
        <w:rPr>
          <w:rFonts w:cstheme="minorHAnsi"/>
        </w:rPr>
      </w:pPr>
    </w:p>
    <w:p w:rsidR="001A2C33" w:rsidRPr="005A5A31" w:rsidRDefault="001A2C33" w:rsidP="001A2C33">
      <w:pPr>
        <w:spacing w:after="0" w:line="240" w:lineRule="auto"/>
        <w:ind w:right="226"/>
        <w:jc w:val="both"/>
        <w:rPr>
          <w:rFonts w:cstheme="minorHAnsi"/>
        </w:rPr>
      </w:pPr>
      <w:r w:rsidRPr="005A5A31">
        <w:rPr>
          <w:rFonts w:cstheme="minorHAnsi"/>
        </w:rPr>
        <w:t>We will fight local government’s corner and support local authorities through challenging times by focusing on our top two priorities:</w:t>
      </w:r>
    </w:p>
    <w:p w:rsidR="001A2C33" w:rsidRPr="005A5A31" w:rsidRDefault="001A2C33" w:rsidP="001A2C33">
      <w:pPr>
        <w:numPr>
          <w:ilvl w:val="0"/>
          <w:numId w:val="4"/>
        </w:numPr>
        <w:tabs>
          <w:tab w:val="clear" w:pos="720"/>
          <w:tab w:val="num" w:pos="712"/>
        </w:tabs>
        <w:spacing w:after="0" w:line="240" w:lineRule="auto"/>
        <w:ind w:left="712" w:right="226"/>
        <w:jc w:val="both"/>
        <w:rPr>
          <w:rFonts w:cstheme="minorHAnsi"/>
        </w:rPr>
      </w:pPr>
      <w:r w:rsidRPr="005A5A31">
        <w:rPr>
          <w:rFonts w:cstheme="minorHAnsi"/>
        </w:rPr>
        <w:t>representing and advocating for local government and making the case for greater devolution</w:t>
      </w:r>
    </w:p>
    <w:p w:rsidR="001A2C33" w:rsidRPr="005A5A31" w:rsidRDefault="001A2C33" w:rsidP="001A2C33">
      <w:pPr>
        <w:numPr>
          <w:ilvl w:val="0"/>
          <w:numId w:val="4"/>
        </w:numPr>
        <w:tabs>
          <w:tab w:val="clear" w:pos="720"/>
          <w:tab w:val="num" w:pos="712"/>
        </w:tabs>
        <w:spacing w:after="0" w:line="240" w:lineRule="auto"/>
        <w:ind w:left="712" w:right="226"/>
        <w:jc w:val="both"/>
        <w:rPr>
          <w:rFonts w:cstheme="minorHAnsi"/>
        </w:rPr>
      </w:pPr>
      <w:proofErr w:type="gramStart"/>
      <w:r w:rsidRPr="005A5A31">
        <w:rPr>
          <w:rFonts w:cstheme="minorHAnsi"/>
        </w:rPr>
        <w:t>helping</w:t>
      </w:r>
      <w:proofErr w:type="gramEnd"/>
      <w:r w:rsidRPr="005A5A31">
        <w:rPr>
          <w:rFonts w:cstheme="minorHAnsi"/>
        </w:rPr>
        <w:t xml:space="preserve"> local authorities tackle their challenges and take advantage of new opportunities to deliver better value for money services. </w:t>
      </w:r>
    </w:p>
    <w:p w:rsidR="001A2C33" w:rsidRPr="005A5A31" w:rsidRDefault="001A2C33" w:rsidP="001A2C33">
      <w:pPr>
        <w:spacing w:after="0" w:line="240" w:lineRule="auto"/>
        <w:ind w:left="352" w:right="226"/>
        <w:jc w:val="both"/>
        <w:rPr>
          <w:rFonts w:cstheme="minorHAnsi"/>
        </w:rPr>
      </w:pPr>
    </w:p>
    <w:p w:rsidR="001A2C33" w:rsidRPr="005A5A31" w:rsidRDefault="001A2C33" w:rsidP="001A2C33">
      <w:pPr>
        <w:spacing w:after="0" w:line="240" w:lineRule="auto"/>
        <w:ind w:right="226"/>
        <w:jc w:val="both"/>
        <w:rPr>
          <w:rFonts w:cstheme="minorHAnsi"/>
        </w:rPr>
      </w:pPr>
      <w:r w:rsidRPr="005A5A31">
        <w:rPr>
          <w:rFonts w:cstheme="minorHAnsi"/>
        </w:rPr>
        <w:t xml:space="preserve">Visit </w:t>
      </w:r>
      <w:hyperlink r:id="rId5" w:history="1">
        <w:r w:rsidRPr="005A5A31">
          <w:rPr>
            <w:rStyle w:val="Hyperlink"/>
            <w:rFonts w:cstheme="minorHAnsi"/>
          </w:rPr>
          <w:t>www.local.gov.uk</w:t>
        </w:r>
      </w:hyperlink>
      <w:r w:rsidRPr="005A5A31">
        <w:rPr>
          <w:rFonts w:cstheme="minorHAnsi"/>
        </w:rPr>
        <w:t xml:space="preserve"> </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spacing w:after="0" w:line="240" w:lineRule="auto"/>
        <w:ind w:right="226"/>
        <w:jc w:val="both"/>
        <w:rPr>
          <w:rFonts w:cstheme="minorHAnsi"/>
          <w:b/>
        </w:rPr>
      </w:pPr>
      <w:r w:rsidRPr="005A5A31">
        <w:rPr>
          <w:rFonts w:cstheme="minorHAnsi"/>
          <w:b/>
        </w:rPr>
        <w:t>Introduction</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widowControl w:val="0"/>
        <w:numPr>
          <w:ilvl w:val="0"/>
          <w:numId w:val="5"/>
        </w:numPr>
        <w:tabs>
          <w:tab w:val="clear" w:pos="720"/>
          <w:tab w:val="num" w:pos="360"/>
        </w:tabs>
        <w:spacing w:after="0" w:line="240" w:lineRule="auto"/>
        <w:ind w:left="360" w:right="226"/>
        <w:jc w:val="both"/>
        <w:rPr>
          <w:rFonts w:cstheme="minorHAnsi"/>
        </w:rPr>
      </w:pPr>
      <w:r w:rsidRPr="005A5A31">
        <w:rPr>
          <w:rFonts w:cstheme="minorHAnsi"/>
        </w:rPr>
        <w:t>On 14</w:t>
      </w:r>
      <w:r w:rsidRPr="005A5A31">
        <w:rPr>
          <w:rFonts w:cstheme="minorHAnsi"/>
          <w:vertAlign w:val="superscript"/>
        </w:rPr>
        <w:t>th</w:t>
      </w:r>
      <w:r w:rsidRPr="005A5A31">
        <w:rPr>
          <w:rFonts w:cstheme="minorHAnsi"/>
        </w:rPr>
        <w:t xml:space="preserve"> December 2011, a representative from the Local Government Association (LGA) gave oral evidence to the Sure Start All Party Parliamentary Group, Inquiry Session. The LGA was invited to supplement this with written evidence.  </w:t>
      </w:r>
    </w:p>
    <w:p w:rsidR="001A2C33" w:rsidRPr="005A5A31" w:rsidRDefault="001A2C33" w:rsidP="001A2C33">
      <w:pPr>
        <w:spacing w:after="0" w:line="240" w:lineRule="auto"/>
        <w:ind w:right="226"/>
        <w:jc w:val="both"/>
        <w:rPr>
          <w:rFonts w:cstheme="minorHAnsi"/>
        </w:rPr>
      </w:pPr>
    </w:p>
    <w:p w:rsidR="001A2C33" w:rsidRPr="005A5A31" w:rsidRDefault="001A2C33" w:rsidP="001A2C33">
      <w:pPr>
        <w:widowControl w:val="0"/>
        <w:numPr>
          <w:ilvl w:val="0"/>
          <w:numId w:val="5"/>
        </w:numPr>
        <w:tabs>
          <w:tab w:val="clear" w:pos="720"/>
          <w:tab w:val="num" w:pos="360"/>
        </w:tabs>
        <w:spacing w:after="0" w:line="240" w:lineRule="auto"/>
        <w:ind w:left="360" w:right="226"/>
        <w:jc w:val="both"/>
        <w:rPr>
          <w:rFonts w:cstheme="minorHAnsi"/>
        </w:rPr>
      </w:pPr>
      <w:r w:rsidRPr="005A5A31">
        <w:rPr>
          <w:rFonts w:cstheme="minorHAnsi"/>
        </w:rPr>
        <w:t>We therefore take this opportunity to provide further detail on the work of the LGA in supporting local authorities to provide children centres, focusing much more effectively on those families who need them the most, whilst achieving value for money.</w:t>
      </w:r>
    </w:p>
    <w:p w:rsidR="001A2C33" w:rsidRPr="005A5A31" w:rsidRDefault="001A2C33" w:rsidP="001A2C33">
      <w:pPr>
        <w:spacing w:after="0" w:line="240" w:lineRule="auto"/>
        <w:ind w:right="226"/>
        <w:jc w:val="both"/>
        <w:rPr>
          <w:rFonts w:cstheme="minorHAnsi"/>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rPr>
      </w:pPr>
      <w:r w:rsidRPr="005A5A31">
        <w:rPr>
          <w:rFonts w:cstheme="minorHAnsi"/>
        </w:rPr>
        <w:t>Local authorities are facing combined pressures of a 25 per cent reduction to the central funding for children’s centres and services. Whilst at the same time having to provide additional services; for example following the Baby P case demands on child protection services rose sharply.  These increases will very likely need to be sustained into the future, and of course need to be funded.</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spacing w:after="0" w:line="240" w:lineRule="auto"/>
        <w:ind w:right="226"/>
        <w:jc w:val="both"/>
        <w:rPr>
          <w:rFonts w:cstheme="minorHAnsi"/>
          <w:b/>
        </w:rPr>
      </w:pPr>
      <w:r w:rsidRPr="005A5A31">
        <w:rPr>
          <w:rFonts w:cstheme="minorHAnsi"/>
          <w:b/>
        </w:rPr>
        <w:t>Does LGA evaluate the performance of local authorities in delivering children’s services?</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widowControl w:val="0"/>
        <w:numPr>
          <w:ilvl w:val="0"/>
          <w:numId w:val="5"/>
        </w:numPr>
        <w:tabs>
          <w:tab w:val="clear" w:pos="720"/>
          <w:tab w:val="num" w:pos="360"/>
        </w:tabs>
        <w:spacing w:after="0" w:line="240" w:lineRule="auto"/>
        <w:ind w:left="360" w:right="226"/>
        <w:jc w:val="both"/>
        <w:rPr>
          <w:rFonts w:cstheme="minorHAnsi"/>
        </w:rPr>
      </w:pPr>
      <w:r w:rsidRPr="005A5A31">
        <w:rPr>
          <w:rFonts w:cstheme="minorHAnsi"/>
        </w:rPr>
        <w:t xml:space="preserve">The LGA is a national membership organisation run by its members from all different political parties.  We are not an inspectorate and as such do not evaluate the performance of local government. Instead we support, promote and improve local government. One of the main ways we do this is through “Taking the Lead”, our self-improvement offer to assist councils to strengthen their accountability and </w:t>
      </w:r>
      <w:proofErr w:type="spellStart"/>
      <w:r w:rsidRPr="005A5A31">
        <w:rPr>
          <w:rFonts w:cstheme="minorHAnsi"/>
        </w:rPr>
        <w:t>revolutionise</w:t>
      </w:r>
      <w:proofErr w:type="spellEnd"/>
      <w:r w:rsidRPr="005A5A31">
        <w:rPr>
          <w:rFonts w:cstheme="minorHAnsi"/>
        </w:rPr>
        <w:t xml:space="preserve"> the way they evaluate and improve services. </w:t>
      </w:r>
    </w:p>
    <w:p w:rsidR="001A2C33" w:rsidRPr="005A5A31" w:rsidRDefault="001A2C33" w:rsidP="001A2C33">
      <w:pPr>
        <w:spacing w:after="0" w:line="240" w:lineRule="auto"/>
        <w:ind w:right="226"/>
        <w:jc w:val="both"/>
        <w:rPr>
          <w:rFonts w:cstheme="minorHAnsi"/>
        </w:rPr>
      </w:pPr>
    </w:p>
    <w:p w:rsidR="001A2C33" w:rsidRPr="005A5A31" w:rsidRDefault="001A2C33" w:rsidP="001A2C33">
      <w:pPr>
        <w:pStyle w:val="Default"/>
        <w:numPr>
          <w:ilvl w:val="0"/>
          <w:numId w:val="5"/>
        </w:numPr>
        <w:tabs>
          <w:tab w:val="clear" w:pos="720"/>
          <w:tab w:val="num" w:pos="360"/>
        </w:tabs>
        <w:ind w:left="360" w:right="226"/>
        <w:jc w:val="both"/>
        <w:rPr>
          <w:rFonts w:asciiTheme="minorHAnsi" w:hAnsiTheme="minorHAnsi" w:cstheme="minorHAnsi"/>
          <w:sz w:val="22"/>
          <w:szCs w:val="22"/>
        </w:rPr>
      </w:pPr>
      <w:r w:rsidRPr="005A5A31">
        <w:rPr>
          <w:rFonts w:asciiTheme="minorHAnsi" w:hAnsiTheme="minorHAnsi" w:cstheme="minorHAnsi"/>
          <w:sz w:val="22"/>
          <w:szCs w:val="22"/>
        </w:rPr>
        <w:t>The new approach to sector-led improvement in children's services is being developed by the Children's Improvement Board (CIB), a partnership board set up in 2011 by the LGA, the Association of Directors of Children's Services (ADCS), SOLACE (Society of Local Authority Chief Executives) and the Department for Education (</w:t>
      </w:r>
      <w:proofErr w:type="spellStart"/>
      <w:r w:rsidRPr="005A5A31">
        <w:rPr>
          <w:rFonts w:asciiTheme="minorHAnsi" w:hAnsiTheme="minorHAnsi" w:cstheme="minorHAnsi"/>
          <w:sz w:val="22"/>
          <w:szCs w:val="22"/>
        </w:rPr>
        <w:t>DfE</w:t>
      </w:r>
      <w:proofErr w:type="spellEnd"/>
      <w:r w:rsidRPr="005A5A31">
        <w:rPr>
          <w:rFonts w:asciiTheme="minorHAnsi" w:hAnsiTheme="minorHAnsi" w:cstheme="minorHAnsi"/>
          <w:sz w:val="22"/>
          <w:szCs w:val="22"/>
        </w:rPr>
        <w:t>). </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spacing w:after="0" w:line="240" w:lineRule="auto"/>
        <w:ind w:right="226"/>
        <w:jc w:val="both"/>
        <w:rPr>
          <w:rFonts w:cstheme="minorHAnsi"/>
          <w:b/>
        </w:rPr>
      </w:pPr>
      <w:r w:rsidRPr="005A5A31">
        <w:rPr>
          <w:rFonts w:cstheme="minorHAnsi"/>
          <w:b/>
        </w:rPr>
        <w:t>Does the LGA have a role to play in sharing good practice around delivering children centres between local authorities?</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widowControl w:val="0"/>
        <w:numPr>
          <w:ilvl w:val="0"/>
          <w:numId w:val="5"/>
        </w:numPr>
        <w:tabs>
          <w:tab w:val="clear" w:pos="720"/>
          <w:tab w:val="num" w:pos="360"/>
        </w:tabs>
        <w:spacing w:after="0" w:line="240" w:lineRule="auto"/>
        <w:ind w:left="360" w:right="226"/>
        <w:jc w:val="both"/>
        <w:rPr>
          <w:rFonts w:cstheme="minorHAnsi"/>
        </w:rPr>
      </w:pPr>
      <w:r w:rsidRPr="005A5A31">
        <w:rPr>
          <w:rFonts w:cstheme="minorHAnsi"/>
        </w:rPr>
        <w:t>Yes. A key methodology for supporting self-improvement is through sharing good practice amongst our members. We do this through numerous tools:</w:t>
      </w:r>
    </w:p>
    <w:p w:rsidR="001A2C33" w:rsidRPr="005A5A31" w:rsidRDefault="001A2C33" w:rsidP="001A2C33">
      <w:pPr>
        <w:spacing w:after="0" w:line="240" w:lineRule="auto"/>
        <w:ind w:right="226"/>
        <w:jc w:val="both"/>
        <w:rPr>
          <w:rFonts w:cstheme="minorHAnsi"/>
        </w:rPr>
      </w:pPr>
    </w:p>
    <w:p w:rsidR="001A2C33" w:rsidRPr="005A5A31" w:rsidRDefault="001A2C33" w:rsidP="005A5A31">
      <w:pPr>
        <w:widowControl w:val="0"/>
        <w:numPr>
          <w:ilvl w:val="1"/>
          <w:numId w:val="5"/>
        </w:numPr>
        <w:tabs>
          <w:tab w:val="clear" w:pos="1440"/>
          <w:tab w:val="num" w:pos="720"/>
        </w:tabs>
        <w:spacing w:after="0" w:line="240" w:lineRule="auto"/>
        <w:ind w:left="720" w:right="226"/>
        <w:jc w:val="both"/>
        <w:rPr>
          <w:rFonts w:cstheme="minorHAnsi"/>
        </w:rPr>
      </w:pPr>
      <w:r w:rsidRPr="005A5A31">
        <w:rPr>
          <w:rFonts w:cstheme="minorHAnsi"/>
        </w:rPr>
        <w:t xml:space="preserve">LGA’s Children and Young People </w:t>
      </w:r>
      <w:proofErr w:type="spellStart"/>
      <w:r w:rsidRPr="005A5A31">
        <w:rPr>
          <w:rFonts w:cstheme="minorHAnsi"/>
        </w:rPr>
        <w:t>Programme’s</w:t>
      </w:r>
      <w:proofErr w:type="spellEnd"/>
      <w:r w:rsidRPr="005A5A31">
        <w:rPr>
          <w:rFonts w:cstheme="minorHAnsi"/>
        </w:rPr>
        <w:t xml:space="preserve"> monthly bulletin which is circulated to around 18,000 local government officers and members.</w:t>
      </w:r>
    </w:p>
    <w:p w:rsidR="001A2C33" w:rsidRPr="005A5A31" w:rsidRDefault="001A2C33" w:rsidP="005A5A31">
      <w:pPr>
        <w:widowControl w:val="0"/>
        <w:numPr>
          <w:ilvl w:val="1"/>
          <w:numId w:val="5"/>
        </w:numPr>
        <w:tabs>
          <w:tab w:val="clear" w:pos="1440"/>
          <w:tab w:val="num" w:pos="720"/>
        </w:tabs>
        <w:spacing w:after="0" w:line="240" w:lineRule="auto"/>
        <w:ind w:left="720" w:right="226"/>
        <w:jc w:val="both"/>
        <w:rPr>
          <w:rFonts w:cstheme="minorHAnsi"/>
          <w:b/>
        </w:rPr>
      </w:pPr>
      <w:r w:rsidRPr="005A5A31">
        <w:rPr>
          <w:rFonts w:cstheme="minorHAnsi"/>
        </w:rPr>
        <w:t xml:space="preserve">LGA’s Communities of Practice is a website for sharing information across local government and the public sector. It currently has around 100,000 sign ups. It will be replaced in the near future with Knowledge Hub, which will provide an improved platform to share information and good practice. </w:t>
      </w:r>
    </w:p>
    <w:p w:rsidR="001A2C33" w:rsidRPr="005A5A31" w:rsidRDefault="001A2C33" w:rsidP="005A5A31">
      <w:pPr>
        <w:widowControl w:val="0"/>
        <w:numPr>
          <w:ilvl w:val="1"/>
          <w:numId w:val="5"/>
        </w:numPr>
        <w:tabs>
          <w:tab w:val="clear" w:pos="1440"/>
          <w:tab w:val="num" w:pos="720"/>
        </w:tabs>
        <w:spacing w:after="0" w:line="240" w:lineRule="auto"/>
        <w:ind w:left="720" w:right="226"/>
        <w:jc w:val="both"/>
        <w:rPr>
          <w:rFonts w:cstheme="minorHAnsi"/>
          <w:b/>
        </w:rPr>
      </w:pPr>
      <w:r w:rsidRPr="005A5A31">
        <w:rPr>
          <w:rFonts w:cstheme="minorHAnsi"/>
        </w:rPr>
        <w:t xml:space="preserve">Local Government Inform is a free online benchmarking service which allows anyone in the local government sector to access, compare and </w:t>
      </w:r>
      <w:proofErr w:type="spellStart"/>
      <w:r w:rsidRPr="005A5A31">
        <w:rPr>
          <w:rFonts w:cstheme="minorHAnsi"/>
        </w:rPr>
        <w:t>analyse</w:t>
      </w:r>
      <w:proofErr w:type="spellEnd"/>
      <w:r w:rsidRPr="005A5A31">
        <w:rPr>
          <w:rFonts w:cstheme="minorHAnsi"/>
        </w:rPr>
        <w:t xml:space="preserve"> performance data, and present their findings (see </w:t>
      </w:r>
      <w:hyperlink r:id="rId6" w:history="1">
        <w:r w:rsidRPr="005A5A31">
          <w:rPr>
            <w:rStyle w:val="Hyperlink"/>
            <w:rFonts w:cstheme="minorHAnsi"/>
          </w:rPr>
          <w:t>http://www.local.gov.uk/about-lginform</w:t>
        </w:r>
      </w:hyperlink>
      <w:r w:rsidRPr="005A5A31">
        <w:rPr>
          <w:rFonts w:cstheme="minorHAnsi"/>
        </w:rPr>
        <w:t>).</w:t>
      </w:r>
    </w:p>
    <w:p w:rsidR="001A2C33" w:rsidRPr="005A5A31" w:rsidRDefault="001A2C33" w:rsidP="005A5A31">
      <w:pPr>
        <w:widowControl w:val="0"/>
        <w:numPr>
          <w:ilvl w:val="1"/>
          <w:numId w:val="5"/>
        </w:numPr>
        <w:tabs>
          <w:tab w:val="clear" w:pos="1440"/>
          <w:tab w:val="num" w:pos="720"/>
        </w:tabs>
        <w:spacing w:after="0" w:line="240" w:lineRule="auto"/>
        <w:ind w:left="720" w:right="226"/>
        <w:jc w:val="both"/>
        <w:rPr>
          <w:rFonts w:cstheme="minorHAnsi"/>
          <w:b/>
        </w:rPr>
      </w:pPr>
      <w:r w:rsidRPr="005A5A31">
        <w:rPr>
          <w:rFonts w:cstheme="minorHAnsi"/>
        </w:rPr>
        <w:t xml:space="preserve">LGA recently funded a research report on “Targeting children's centre services on the </w:t>
      </w:r>
      <w:proofErr w:type="gramStart"/>
      <w:r w:rsidRPr="005A5A31">
        <w:rPr>
          <w:rFonts w:cstheme="minorHAnsi"/>
        </w:rPr>
        <w:t>most needy</w:t>
      </w:r>
      <w:proofErr w:type="gramEnd"/>
      <w:r w:rsidRPr="005A5A31">
        <w:rPr>
          <w:rFonts w:cstheme="minorHAnsi"/>
        </w:rPr>
        <w:t xml:space="preserve"> families”, September 2011. This report included numerous good practice case studies.</w:t>
      </w:r>
    </w:p>
    <w:p w:rsidR="001A2C33" w:rsidRPr="005A5A31" w:rsidRDefault="001A2C33" w:rsidP="005A5A31">
      <w:pPr>
        <w:widowControl w:val="0"/>
        <w:numPr>
          <w:ilvl w:val="1"/>
          <w:numId w:val="5"/>
        </w:numPr>
        <w:tabs>
          <w:tab w:val="clear" w:pos="1440"/>
          <w:tab w:val="num" w:pos="720"/>
        </w:tabs>
        <w:spacing w:after="0" w:line="240" w:lineRule="auto"/>
        <w:ind w:left="720" w:right="226"/>
        <w:jc w:val="both"/>
        <w:rPr>
          <w:rFonts w:cstheme="minorHAnsi"/>
          <w:b/>
        </w:rPr>
      </w:pPr>
      <w:r w:rsidRPr="005A5A31">
        <w:rPr>
          <w:rFonts w:cstheme="minorHAnsi"/>
        </w:rPr>
        <w:t xml:space="preserve">LGA’s Children and Young People </w:t>
      </w:r>
      <w:proofErr w:type="spellStart"/>
      <w:r w:rsidRPr="005A5A31">
        <w:rPr>
          <w:rFonts w:cstheme="minorHAnsi"/>
        </w:rPr>
        <w:t>Programme</w:t>
      </w:r>
      <w:proofErr w:type="spellEnd"/>
      <w:r w:rsidRPr="005A5A31">
        <w:rPr>
          <w:rFonts w:cstheme="minorHAnsi"/>
        </w:rPr>
        <w:t xml:space="preserve"> run events to share good practice with members.</w:t>
      </w:r>
    </w:p>
    <w:p w:rsidR="001A2C33" w:rsidRPr="005A5A31" w:rsidRDefault="001A2C33" w:rsidP="005A5A31">
      <w:pPr>
        <w:widowControl w:val="0"/>
        <w:numPr>
          <w:ilvl w:val="1"/>
          <w:numId w:val="5"/>
        </w:numPr>
        <w:tabs>
          <w:tab w:val="clear" w:pos="1440"/>
          <w:tab w:val="num" w:pos="720"/>
        </w:tabs>
        <w:spacing w:after="0" w:line="240" w:lineRule="auto"/>
        <w:ind w:left="720" w:right="226"/>
        <w:jc w:val="both"/>
        <w:rPr>
          <w:rFonts w:cstheme="minorHAnsi"/>
          <w:b/>
        </w:rPr>
      </w:pPr>
      <w:r w:rsidRPr="005A5A31">
        <w:rPr>
          <w:rFonts w:cstheme="minorHAnsi"/>
        </w:rPr>
        <w:t>The Children’s Improvement Board (CIB) is a key tool to drive self-improvement in local authorities’ Children and Young People’s services and plays a key role in sharing good practice. See section below for information on the ways it does this.</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spacing w:after="0" w:line="240" w:lineRule="auto"/>
        <w:ind w:right="226"/>
        <w:jc w:val="both"/>
        <w:rPr>
          <w:rFonts w:cstheme="minorHAnsi"/>
          <w:b/>
        </w:rPr>
      </w:pPr>
      <w:r w:rsidRPr="005A5A31">
        <w:rPr>
          <w:rFonts w:cstheme="minorHAnsi"/>
          <w:b/>
        </w:rPr>
        <w:t>What is the purpose of the Children’s Improvement Board?</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widowControl w:val="0"/>
        <w:numPr>
          <w:ilvl w:val="0"/>
          <w:numId w:val="5"/>
        </w:numPr>
        <w:tabs>
          <w:tab w:val="clear" w:pos="720"/>
          <w:tab w:val="num" w:pos="360"/>
        </w:tabs>
        <w:spacing w:after="0" w:line="240" w:lineRule="auto"/>
        <w:ind w:left="360" w:right="226"/>
        <w:jc w:val="both"/>
        <w:rPr>
          <w:rFonts w:cstheme="minorHAnsi"/>
          <w:bCs/>
        </w:rPr>
      </w:pPr>
      <w:r w:rsidRPr="005A5A31">
        <w:rPr>
          <w:rFonts w:cstheme="minorHAnsi"/>
          <w:bCs/>
        </w:rPr>
        <w:t xml:space="preserve">The LGA’s new Children’s Improvement Board is overseeing a new </w:t>
      </w:r>
      <w:proofErr w:type="spellStart"/>
      <w:r w:rsidRPr="005A5A31">
        <w:rPr>
          <w:rFonts w:cstheme="minorHAnsi"/>
          <w:bCs/>
        </w:rPr>
        <w:t>programme</w:t>
      </w:r>
      <w:proofErr w:type="spellEnd"/>
      <w:r w:rsidRPr="005A5A31">
        <w:rPr>
          <w:rFonts w:cstheme="minorHAnsi"/>
          <w:bCs/>
        </w:rPr>
        <w:t xml:space="preserve"> to help councils benefit and learn from each other and from voluntary organizations to build even further on their record of delivering new and better ways of doing things.</w:t>
      </w:r>
    </w:p>
    <w:p w:rsidR="001A2C33" w:rsidRPr="005A5A31" w:rsidRDefault="001A2C33" w:rsidP="001A2C33">
      <w:pPr>
        <w:pStyle w:val="NormalWeb"/>
        <w:spacing w:before="0" w:beforeAutospacing="0" w:after="0" w:line="240" w:lineRule="auto"/>
        <w:ind w:right="226"/>
        <w:jc w:val="both"/>
        <w:rPr>
          <w:rFonts w:asciiTheme="minorHAnsi" w:hAnsiTheme="minorHAnsi" w:cstheme="minorHAnsi"/>
          <w:sz w:val="22"/>
          <w:szCs w:val="22"/>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lang w:eastAsia="en-GB"/>
        </w:rPr>
      </w:pPr>
      <w:r w:rsidRPr="005A5A31">
        <w:rPr>
          <w:rFonts w:cstheme="minorHAnsi"/>
          <w:lang w:eastAsia="en-GB"/>
        </w:rPr>
        <w:t>The CIB’s mission is to deliver:</w:t>
      </w:r>
    </w:p>
    <w:p w:rsidR="001A2C33" w:rsidRPr="005A5A31" w:rsidRDefault="001A2C33" w:rsidP="001A2C33">
      <w:pPr>
        <w:spacing w:after="0" w:line="240" w:lineRule="auto"/>
        <w:ind w:right="226"/>
        <w:jc w:val="both"/>
        <w:rPr>
          <w:rFonts w:cstheme="minorHAnsi"/>
          <w:lang w:eastAsia="en-GB"/>
        </w:rPr>
      </w:pPr>
    </w:p>
    <w:p w:rsidR="001A2C33" w:rsidRPr="005A5A31" w:rsidRDefault="001A2C33" w:rsidP="001A2C33">
      <w:pPr>
        <w:numPr>
          <w:ilvl w:val="0"/>
          <w:numId w:val="6"/>
        </w:numPr>
        <w:spacing w:after="0" w:line="240" w:lineRule="auto"/>
        <w:ind w:right="226"/>
        <w:jc w:val="both"/>
        <w:rPr>
          <w:rFonts w:cstheme="minorHAnsi"/>
          <w:lang w:eastAsia="en-GB"/>
        </w:rPr>
      </w:pPr>
      <w:r w:rsidRPr="005A5A31">
        <w:rPr>
          <w:rFonts w:cstheme="minorHAnsi"/>
          <w:lang w:eastAsia="en-GB"/>
        </w:rPr>
        <w:t xml:space="preserve">Excellence through universal improvement in outcomes </w:t>
      </w:r>
    </w:p>
    <w:p w:rsidR="001A2C33" w:rsidRPr="005A5A31" w:rsidRDefault="001A2C33" w:rsidP="001A2C33">
      <w:pPr>
        <w:numPr>
          <w:ilvl w:val="0"/>
          <w:numId w:val="6"/>
        </w:numPr>
        <w:spacing w:after="0" w:line="240" w:lineRule="auto"/>
        <w:ind w:right="226"/>
        <w:jc w:val="both"/>
        <w:rPr>
          <w:rFonts w:cstheme="minorHAnsi"/>
          <w:lang w:eastAsia="en-GB"/>
        </w:rPr>
      </w:pPr>
      <w:r w:rsidRPr="005A5A31">
        <w:rPr>
          <w:rFonts w:cstheme="minorHAnsi"/>
          <w:lang w:eastAsia="en-GB"/>
        </w:rPr>
        <w:t xml:space="preserve">Targeted support in the event of service failure or declining performance </w:t>
      </w:r>
    </w:p>
    <w:p w:rsidR="001A2C33" w:rsidRPr="005A5A31" w:rsidRDefault="001A2C33" w:rsidP="001A2C33">
      <w:pPr>
        <w:numPr>
          <w:ilvl w:val="0"/>
          <w:numId w:val="6"/>
        </w:numPr>
        <w:spacing w:after="0" w:line="240" w:lineRule="auto"/>
        <w:ind w:right="226"/>
        <w:jc w:val="both"/>
        <w:rPr>
          <w:rFonts w:cstheme="minorHAnsi"/>
          <w:lang w:eastAsia="en-GB"/>
        </w:rPr>
      </w:pPr>
      <w:r w:rsidRPr="005A5A31">
        <w:rPr>
          <w:rFonts w:cstheme="minorHAnsi"/>
          <w:lang w:eastAsia="en-GB"/>
        </w:rPr>
        <w:t xml:space="preserve">Innovation and implementation of new policy initiatives. </w:t>
      </w:r>
    </w:p>
    <w:p w:rsidR="001A2C33" w:rsidRPr="005A5A31" w:rsidRDefault="001A2C33" w:rsidP="001A2C33">
      <w:pPr>
        <w:spacing w:after="0" w:line="240" w:lineRule="auto"/>
        <w:ind w:right="226"/>
        <w:jc w:val="both"/>
        <w:rPr>
          <w:rFonts w:cstheme="minorHAnsi"/>
          <w:lang w:eastAsia="en-GB"/>
        </w:rPr>
      </w:pPr>
    </w:p>
    <w:p w:rsidR="001A2C33" w:rsidRPr="005A5A31" w:rsidRDefault="001A2C33" w:rsidP="001A2C33">
      <w:pPr>
        <w:pStyle w:val="NormalWeb"/>
        <w:numPr>
          <w:ilvl w:val="0"/>
          <w:numId w:val="5"/>
        </w:numPr>
        <w:tabs>
          <w:tab w:val="clear" w:pos="720"/>
          <w:tab w:val="num" w:pos="360"/>
        </w:tabs>
        <w:spacing w:before="0" w:beforeAutospacing="0" w:after="0" w:line="240" w:lineRule="auto"/>
        <w:ind w:left="360" w:right="226"/>
        <w:jc w:val="both"/>
        <w:rPr>
          <w:rFonts w:asciiTheme="minorHAnsi" w:hAnsiTheme="minorHAnsi" w:cstheme="minorHAnsi"/>
          <w:sz w:val="22"/>
          <w:szCs w:val="22"/>
        </w:rPr>
      </w:pPr>
      <w:r w:rsidRPr="005A5A31">
        <w:rPr>
          <w:rFonts w:asciiTheme="minorHAnsi" w:hAnsiTheme="minorHAnsi" w:cstheme="minorHAnsi"/>
          <w:color w:val="000000"/>
          <w:sz w:val="22"/>
          <w:szCs w:val="22"/>
        </w:rPr>
        <w:t xml:space="preserve">The Children’s Improvement Board (CIB) is a direction setting and decision-making group that is responsible for the overall delivery of the programme to develop a sector-led improvement system for children’s services. </w:t>
      </w:r>
    </w:p>
    <w:p w:rsidR="001A2C33" w:rsidRPr="005A5A31" w:rsidRDefault="001A2C33" w:rsidP="001A2C33">
      <w:pPr>
        <w:pStyle w:val="NormalWeb"/>
        <w:spacing w:before="0" w:beforeAutospacing="0" w:after="0" w:line="240" w:lineRule="auto"/>
        <w:ind w:right="226"/>
        <w:jc w:val="both"/>
        <w:rPr>
          <w:rFonts w:asciiTheme="minorHAnsi" w:hAnsiTheme="minorHAnsi" w:cstheme="minorHAnsi"/>
          <w:sz w:val="22"/>
          <w:szCs w:val="22"/>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lang w:eastAsia="en-GB"/>
        </w:rPr>
      </w:pPr>
      <w:r w:rsidRPr="005A5A31">
        <w:rPr>
          <w:rFonts w:cstheme="minorHAnsi"/>
          <w:lang w:eastAsia="en-GB"/>
        </w:rPr>
        <w:t xml:space="preserve">Following on from this, CIB has agreed to continue the support to councils on children’s centres sufficiency. In addition 27 </w:t>
      </w:r>
      <w:proofErr w:type="gramStart"/>
      <w:r w:rsidRPr="005A5A31">
        <w:rPr>
          <w:rFonts w:cstheme="minorHAnsi"/>
          <w:lang w:eastAsia="en-GB"/>
        </w:rPr>
        <w:t>payment-</w:t>
      </w:r>
      <w:proofErr w:type="gramEnd"/>
      <w:r w:rsidRPr="005A5A31">
        <w:rPr>
          <w:rFonts w:cstheme="minorHAnsi"/>
          <w:lang w:eastAsia="en-GB"/>
        </w:rPr>
        <w:t>by- results trial areas have been approved and councils are developing their work and supporting each other through action learning sets.</w:t>
      </w:r>
    </w:p>
    <w:p w:rsidR="001A2C33" w:rsidRPr="005A5A31" w:rsidRDefault="001A2C33" w:rsidP="001A2C33">
      <w:pPr>
        <w:spacing w:after="0" w:line="240" w:lineRule="auto"/>
        <w:ind w:right="226"/>
        <w:jc w:val="both"/>
        <w:rPr>
          <w:rFonts w:cstheme="minorHAnsi"/>
          <w:lang w:eastAsia="en-GB"/>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lang w:eastAsia="en-GB"/>
        </w:rPr>
      </w:pPr>
      <w:r w:rsidRPr="005A5A31">
        <w:rPr>
          <w:rFonts w:cstheme="minorHAnsi"/>
          <w:lang w:eastAsia="en-GB"/>
        </w:rPr>
        <w:t xml:space="preserve">CIB commissions work to identify and share good practice within the sector. This has included commissioning SERCO to undertake sufficiency work for Sure Start Children’s Centres, including sharing good practice case studies. Furthermore, CIB have recently commissioned </w:t>
      </w:r>
      <w:r w:rsidRPr="005A5A31">
        <w:rPr>
          <w:rFonts w:cstheme="minorHAnsi"/>
          <w:color w:val="000000"/>
        </w:rPr>
        <w:t>C4EO to identify innovative examples of emerging local practice in relation to children and youth services to share with the sector.</w:t>
      </w:r>
    </w:p>
    <w:p w:rsidR="001A2C33" w:rsidRPr="005A5A31" w:rsidRDefault="001A2C33" w:rsidP="001A2C33">
      <w:pPr>
        <w:spacing w:after="0" w:line="240" w:lineRule="auto"/>
        <w:ind w:left="352" w:right="226"/>
        <w:jc w:val="both"/>
        <w:rPr>
          <w:rFonts w:cstheme="minorHAnsi"/>
          <w:lang w:eastAsia="en-GB"/>
        </w:rPr>
      </w:pPr>
    </w:p>
    <w:p w:rsidR="001A2C33" w:rsidRPr="005A5A31" w:rsidRDefault="001A2C33" w:rsidP="001A2C33">
      <w:pPr>
        <w:spacing w:after="0" w:line="240" w:lineRule="auto"/>
        <w:ind w:right="226"/>
        <w:jc w:val="both"/>
        <w:rPr>
          <w:rFonts w:cstheme="minorHAnsi"/>
          <w:b/>
        </w:rPr>
      </w:pPr>
      <w:r w:rsidRPr="005A5A31">
        <w:rPr>
          <w:rFonts w:cstheme="minorHAnsi"/>
          <w:b/>
        </w:rPr>
        <w:lastRenderedPageBreak/>
        <w:t>What is the LGA’s view on the strength of health partnerships at a local level?</w:t>
      </w:r>
    </w:p>
    <w:p w:rsidR="001A2C33" w:rsidRPr="005A5A31" w:rsidRDefault="001A2C33" w:rsidP="001A2C33">
      <w:pPr>
        <w:spacing w:after="0" w:line="240" w:lineRule="auto"/>
        <w:ind w:right="226"/>
        <w:jc w:val="both"/>
        <w:rPr>
          <w:rFonts w:cstheme="minorHAnsi"/>
          <w:b/>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lang w:eastAsia="en-GB"/>
        </w:rPr>
      </w:pPr>
      <w:r w:rsidRPr="005A5A31">
        <w:rPr>
          <w:rFonts w:cstheme="minorHAnsi"/>
          <w:lang w:eastAsia="en-GB"/>
        </w:rPr>
        <w:t xml:space="preserve">Health and wellbeing boards (HWBs) will be at the heart of the local health system and are the new partnership arrangements between local councils, GPs and other health professionals, and local </w:t>
      </w:r>
      <w:proofErr w:type="spellStart"/>
      <w:r w:rsidRPr="005A5A31">
        <w:rPr>
          <w:rFonts w:cstheme="minorHAnsi"/>
          <w:lang w:eastAsia="en-GB"/>
        </w:rPr>
        <w:t>Healthwatch</w:t>
      </w:r>
      <w:proofErr w:type="spellEnd"/>
      <w:r w:rsidRPr="005A5A31">
        <w:rPr>
          <w:rFonts w:cstheme="minorHAnsi"/>
          <w:lang w:eastAsia="en-GB"/>
        </w:rPr>
        <w:t>. HWBs will be responsible for improving the health of the local population and tackling health inequalities.  The LGA’s research has shown that local areas are taking different approaches to setting up HWBs and it is too early to identify which will be most effective. In general, the most effective approach is dependent on what works best locally. There are a number of areas showcased in the recently published resource “New Partnerships, New Opportunities” which identify universal good practice.</w:t>
      </w:r>
    </w:p>
    <w:p w:rsidR="001A2C33" w:rsidRPr="005A5A31" w:rsidRDefault="001A2C33" w:rsidP="001A2C33">
      <w:pPr>
        <w:spacing w:after="0" w:line="240" w:lineRule="auto"/>
        <w:ind w:right="226"/>
        <w:jc w:val="both"/>
        <w:rPr>
          <w:rFonts w:cstheme="minorHAnsi"/>
          <w:lang w:eastAsia="en-GB"/>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lang w:eastAsia="en-GB"/>
        </w:rPr>
      </w:pPr>
      <w:r w:rsidRPr="005A5A31">
        <w:rPr>
          <w:rFonts w:cstheme="minorHAnsi"/>
          <w:lang w:eastAsia="en-GB"/>
        </w:rPr>
        <w:t xml:space="preserve">The LGA is working with the Department of Health to support the early implementers of the HWBs through the national learning network for HWBs. Support includes a virtual learning hub hosted by the Communities of Practice platform; national learning sets with a number of key themes including one on “Improving services through more effective joint working for children and families”; and leadership development for elected members, clinical leaders and other local partners. This is to help ensure HWBs are developed in line with the development of clinical commissioning groups, </w:t>
      </w:r>
      <w:proofErr w:type="spellStart"/>
      <w:r w:rsidRPr="005A5A31">
        <w:rPr>
          <w:rFonts w:cstheme="minorHAnsi"/>
          <w:lang w:eastAsia="en-GB"/>
        </w:rPr>
        <w:t>Healthwatch</w:t>
      </w:r>
      <w:proofErr w:type="spellEnd"/>
      <w:r w:rsidRPr="005A5A31">
        <w:rPr>
          <w:rFonts w:cstheme="minorHAnsi"/>
          <w:lang w:eastAsia="en-GB"/>
        </w:rPr>
        <w:t>, and guidance around Joint Strategic Needs Assessment and a Joint Health and Wellbeing Strategy.</w:t>
      </w:r>
    </w:p>
    <w:p w:rsidR="001A2C33" w:rsidRPr="005A5A31" w:rsidRDefault="001A2C33" w:rsidP="001A2C33">
      <w:pPr>
        <w:spacing w:after="0" w:line="240" w:lineRule="auto"/>
        <w:ind w:right="226"/>
        <w:jc w:val="both"/>
        <w:rPr>
          <w:rFonts w:cstheme="minorHAnsi"/>
          <w:lang w:eastAsia="en-GB"/>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lang w:eastAsia="en-GB"/>
        </w:rPr>
      </w:pPr>
      <w:r w:rsidRPr="005A5A31">
        <w:rPr>
          <w:rFonts w:cstheme="minorHAnsi"/>
          <w:lang w:eastAsia="en-GB"/>
        </w:rPr>
        <w:t xml:space="preserve">The LGA will continue to work with key stakeholders to ensure strong partnerships. We will continue to support councils as they tackle challenges around HWBs’ statutory functions. </w:t>
      </w:r>
    </w:p>
    <w:p w:rsidR="001A2C33" w:rsidRPr="005A5A31" w:rsidRDefault="001A2C33" w:rsidP="001A2C33">
      <w:pPr>
        <w:spacing w:after="0" w:line="240" w:lineRule="auto"/>
        <w:ind w:right="226"/>
        <w:jc w:val="both"/>
        <w:rPr>
          <w:rFonts w:cstheme="minorHAnsi"/>
          <w:lang w:eastAsia="en-GB"/>
        </w:rPr>
      </w:pPr>
    </w:p>
    <w:p w:rsidR="001A2C33" w:rsidRPr="005A5A31" w:rsidRDefault="001A2C33" w:rsidP="001A2C33">
      <w:pPr>
        <w:numPr>
          <w:ilvl w:val="0"/>
          <w:numId w:val="5"/>
        </w:numPr>
        <w:tabs>
          <w:tab w:val="clear" w:pos="720"/>
          <w:tab w:val="num" w:pos="360"/>
        </w:tabs>
        <w:spacing w:after="0" w:line="240" w:lineRule="auto"/>
        <w:ind w:left="360" w:right="226"/>
        <w:jc w:val="both"/>
        <w:rPr>
          <w:rFonts w:cstheme="minorHAnsi"/>
          <w:lang w:eastAsia="en-GB"/>
        </w:rPr>
      </w:pPr>
      <w:r w:rsidRPr="005A5A31">
        <w:rPr>
          <w:rFonts w:cstheme="minorHAnsi"/>
          <w:lang w:eastAsia="en-GB"/>
        </w:rPr>
        <w:t xml:space="preserve">The responsibility for children’s public health services will be split between the NHS Commissioning Board (for children aged 0-5) and local authorities (for children and young people aged 5-19) until 2015. After this time it will be transferred to local government. The LGA is concerned about the fragmentation of children’s health and wellbeing services until 2015. Many local authorities believe that the split responsibility will lead to the fragmentation of children’s services and may undermine existing services such as Sure Start Children Centres which are already established in every local authority area. Instead, we propose local authorities should have responsibility for commissioning children’s public health services from pregnancy throughout childhood. </w:t>
      </w:r>
    </w:p>
    <w:p w:rsidR="001A2C33" w:rsidRPr="005A5A31" w:rsidRDefault="001A2C33" w:rsidP="001A2C33">
      <w:pPr>
        <w:spacing w:after="0" w:line="240" w:lineRule="auto"/>
        <w:rPr>
          <w:rFonts w:cstheme="minorHAnsi"/>
          <w:b/>
          <w:lang w:val="en-GB"/>
        </w:rPr>
      </w:pPr>
    </w:p>
    <w:sectPr w:rsidR="001A2C33" w:rsidRPr="005A5A31" w:rsidSect="000716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utiger 45 Light">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2A3"/>
    <w:multiLevelType w:val="hybridMultilevel"/>
    <w:tmpl w:val="A3AC7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621179"/>
    <w:multiLevelType w:val="hybridMultilevel"/>
    <w:tmpl w:val="DD20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DB1261"/>
    <w:multiLevelType w:val="hybridMultilevel"/>
    <w:tmpl w:val="B442E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632B0E"/>
    <w:multiLevelType w:val="hybridMultilevel"/>
    <w:tmpl w:val="DE20183A"/>
    <w:lvl w:ilvl="0" w:tplc="395A7F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nsid w:val="5A355C53"/>
    <w:multiLevelType w:val="hybridMultilevel"/>
    <w:tmpl w:val="29B68E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9912F7"/>
    <w:multiLevelType w:val="hybridMultilevel"/>
    <w:tmpl w:val="44AC0F12"/>
    <w:lvl w:ilvl="0" w:tplc="0809000F">
      <w:start w:val="1"/>
      <w:numFmt w:val="decimal"/>
      <w:lvlText w:val="%1."/>
      <w:lvlJc w:val="left"/>
      <w:pPr>
        <w:tabs>
          <w:tab w:val="num" w:pos="720"/>
        </w:tabs>
        <w:ind w:left="720" w:hanging="360"/>
      </w:pPr>
    </w:lvl>
    <w:lvl w:ilvl="1" w:tplc="395A7F0C">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48C"/>
    <w:rsid w:val="000060ED"/>
    <w:rsid w:val="000150AB"/>
    <w:rsid w:val="00030051"/>
    <w:rsid w:val="00041A7A"/>
    <w:rsid w:val="000422CE"/>
    <w:rsid w:val="0004525A"/>
    <w:rsid w:val="0004530D"/>
    <w:rsid w:val="000469EE"/>
    <w:rsid w:val="00056FCE"/>
    <w:rsid w:val="000716E0"/>
    <w:rsid w:val="000732CA"/>
    <w:rsid w:val="000821AD"/>
    <w:rsid w:val="000B0809"/>
    <w:rsid w:val="000B385A"/>
    <w:rsid w:val="000C0B0B"/>
    <w:rsid w:val="000C3163"/>
    <w:rsid w:val="000F0DEF"/>
    <w:rsid w:val="000F7E03"/>
    <w:rsid w:val="001000A3"/>
    <w:rsid w:val="0012568F"/>
    <w:rsid w:val="00125ED2"/>
    <w:rsid w:val="0012757E"/>
    <w:rsid w:val="001332D4"/>
    <w:rsid w:val="00162AC9"/>
    <w:rsid w:val="00170032"/>
    <w:rsid w:val="00186047"/>
    <w:rsid w:val="001877DB"/>
    <w:rsid w:val="00192C89"/>
    <w:rsid w:val="00194A46"/>
    <w:rsid w:val="001A2C33"/>
    <w:rsid w:val="001B5249"/>
    <w:rsid w:val="001B6BF1"/>
    <w:rsid w:val="001C39EA"/>
    <w:rsid w:val="001E204F"/>
    <w:rsid w:val="0020494C"/>
    <w:rsid w:val="00221629"/>
    <w:rsid w:val="00227EEC"/>
    <w:rsid w:val="002446B8"/>
    <w:rsid w:val="00273C4D"/>
    <w:rsid w:val="00283BB6"/>
    <w:rsid w:val="00285FCC"/>
    <w:rsid w:val="002A176C"/>
    <w:rsid w:val="002B1F89"/>
    <w:rsid w:val="002E6282"/>
    <w:rsid w:val="002F11ED"/>
    <w:rsid w:val="003120FD"/>
    <w:rsid w:val="00313AB8"/>
    <w:rsid w:val="0032271E"/>
    <w:rsid w:val="003431E0"/>
    <w:rsid w:val="00350274"/>
    <w:rsid w:val="003633ED"/>
    <w:rsid w:val="00381863"/>
    <w:rsid w:val="0038372C"/>
    <w:rsid w:val="003909D2"/>
    <w:rsid w:val="003A0AFD"/>
    <w:rsid w:val="003D40DB"/>
    <w:rsid w:val="003D448F"/>
    <w:rsid w:val="003E128D"/>
    <w:rsid w:val="00407FF1"/>
    <w:rsid w:val="00410FA2"/>
    <w:rsid w:val="004232CA"/>
    <w:rsid w:val="00426C0C"/>
    <w:rsid w:val="00447FB0"/>
    <w:rsid w:val="00477F3E"/>
    <w:rsid w:val="00485E7A"/>
    <w:rsid w:val="004A11E4"/>
    <w:rsid w:val="004A4AB9"/>
    <w:rsid w:val="004A727B"/>
    <w:rsid w:val="004B1864"/>
    <w:rsid w:val="004B2FD2"/>
    <w:rsid w:val="004B4F4E"/>
    <w:rsid w:val="004D2328"/>
    <w:rsid w:val="004E285E"/>
    <w:rsid w:val="004F05FC"/>
    <w:rsid w:val="0050512B"/>
    <w:rsid w:val="005154A1"/>
    <w:rsid w:val="00542933"/>
    <w:rsid w:val="0057762B"/>
    <w:rsid w:val="005843B0"/>
    <w:rsid w:val="005916CC"/>
    <w:rsid w:val="005A5A31"/>
    <w:rsid w:val="005A7CA8"/>
    <w:rsid w:val="005B0C09"/>
    <w:rsid w:val="005C0171"/>
    <w:rsid w:val="005D7DE2"/>
    <w:rsid w:val="005F24A8"/>
    <w:rsid w:val="005F3C93"/>
    <w:rsid w:val="005F7942"/>
    <w:rsid w:val="00607FD2"/>
    <w:rsid w:val="00666A1E"/>
    <w:rsid w:val="006811BE"/>
    <w:rsid w:val="00684CA2"/>
    <w:rsid w:val="0068764E"/>
    <w:rsid w:val="006A3340"/>
    <w:rsid w:val="006B4890"/>
    <w:rsid w:val="006B6523"/>
    <w:rsid w:val="006D77F2"/>
    <w:rsid w:val="006F1DCB"/>
    <w:rsid w:val="00702F4E"/>
    <w:rsid w:val="00720A4E"/>
    <w:rsid w:val="00724EB5"/>
    <w:rsid w:val="00725885"/>
    <w:rsid w:val="00727825"/>
    <w:rsid w:val="0074002C"/>
    <w:rsid w:val="00773573"/>
    <w:rsid w:val="00787640"/>
    <w:rsid w:val="007A0318"/>
    <w:rsid w:val="007B6E45"/>
    <w:rsid w:val="007E184C"/>
    <w:rsid w:val="007E2E73"/>
    <w:rsid w:val="007E3B42"/>
    <w:rsid w:val="007F0833"/>
    <w:rsid w:val="00803B11"/>
    <w:rsid w:val="0082562B"/>
    <w:rsid w:val="00830CC7"/>
    <w:rsid w:val="008336B7"/>
    <w:rsid w:val="00836F33"/>
    <w:rsid w:val="00851D2B"/>
    <w:rsid w:val="008579B8"/>
    <w:rsid w:val="00862901"/>
    <w:rsid w:val="008672D5"/>
    <w:rsid w:val="008857BF"/>
    <w:rsid w:val="00893DB3"/>
    <w:rsid w:val="008A1C6B"/>
    <w:rsid w:val="008B1E8B"/>
    <w:rsid w:val="008F6A7E"/>
    <w:rsid w:val="00901C06"/>
    <w:rsid w:val="00902F97"/>
    <w:rsid w:val="00931956"/>
    <w:rsid w:val="0093206E"/>
    <w:rsid w:val="009426A0"/>
    <w:rsid w:val="009443A8"/>
    <w:rsid w:val="009449F7"/>
    <w:rsid w:val="009713A5"/>
    <w:rsid w:val="009839A6"/>
    <w:rsid w:val="00995D11"/>
    <w:rsid w:val="009B284E"/>
    <w:rsid w:val="009B66DB"/>
    <w:rsid w:val="009C2AD5"/>
    <w:rsid w:val="009E5D41"/>
    <w:rsid w:val="009F5267"/>
    <w:rsid w:val="00A100AB"/>
    <w:rsid w:val="00A25BB2"/>
    <w:rsid w:val="00A66048"/>
    <w:rsid w:val="00AA5748"/>
    <w:rsid w:val="00AB1468"/>
    <w:rsid w:val="00AC12C8"/>
    <w:rsid w:val="00AD7524"/>
    <w:rsid w:val="00B37638"/>
    <w:rsid w:val="00B407BC"/>
    <w:rsid w:val="00B40810"/>
    <w:rsid w:val="00B65A92"/>
    <w:rsid w:val="00B73B0D"/>
    <w:rsid w:val="00BA3AC0"/>
    <w:rsid w:val="00BB0A14"/>
    <w:rsid w:val="00BC76E2"/>
    <w:rsid w:val="00BD4DF9"/>
    <w:rsid w:val="00C06058"/>
    <w:rsid w:val="00C30722"/>
    <w:rsid w:val="00C36D95"/>
    <w:rsid w:val="00C4348C"/>
    <w:rsid w:val="00C52150"/>
    <w:rsid w:val="00C52F00"/>
    <w:rsid w:val="00C57AF2"/>
    <w:rsid w:val="00C6459D"/>
    <w:rsid w:val="00C64908"/>
    <w:rsid w:val="00C955FE"/>
    <w:rsid w:val="00CB5832"/>
    <w:rsid w:val="00CC6C14"/>
    <w:rsid w:val="00CD2DF0"/>
    <w:rsid w:val="00CE28F0"/>
    <w:rsid w:val="00D10DDD"/>
    <w:rsid w:val="00D32699"/>
    <w:rsid w:val="00D330BE"/>
    <w:rsid w:val="00D33A01"/>
    <w:rsid w:val="00D42D97"/>
    <w:rsid w:val="00D5119D"/>
    <w:rsid w:val="00D675E8"/>
    <w:rsid w:val="00D777CE"/>
    <w:rsid w:val="00D87469"/>
    <w:rsid w:val="00D87C82"/>
    <w:rsid w:val="00D96EEC"/>
    <w:rsid w:val="00DB05EF"/>
    <w:rsid w:val="00DE7224"/>
    <w:rsid w:val="00E119CF"/>
    <w:rsid w:val="00E1576A"/>
    <w:rsid w:val="00E21922"/>
    <w:rsid w:val="00E25241"/>
    <w:rsid w:val="00E54531"/>
    <w:rsid w:val="00E65902"/>
    <w:rsid w:val="00E67306"/>
    <w:rsid w:val="00E84B5F"/>
    <w:rsid w:val="00E924EE"/>
    <w:rsid w:val="00E9299F"/>
    <w:rsid w:val="00EB0C78"/>
    <w:rsid w:val="00ED3DF8"/>
    <w:rsid w:val="00EE08A8"/>
    <w:rsid w:val="00EE19AC"/>
    <w:rsid w:val="00F80F7B"/>
    <w:rsid w:val="00F94AA7"/>
    <w:rsid w:val="00FD52EA"/>
    <w:rsid w:val="00FE6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E0"/>
  </w:style>
  <w:style w:type="paragraph" w:styleId="Heading2">
    <w:name w:val="heading 2"/>
    <w:basedOn w:val="Normal"/>
    <w:next w:val="Normal"/>
    <w:link w:val="Heading2Char"/>
    <w:qFormat/>
    <w:rsid w:val="001A2C33"/>
    <w:pPr>
      <w:widowControl w:val="0"/>
      <w:spacing w:after="0" w:line="400" w:lineRule="exact"/>
      <w:outlineLvl w:val="1"/>
    </w:pPr>
    <w:rPr>
      <w:rFonts w:ascii="Frutiger 45 Light" w:eastAsia="Times New Roman" w:hAnsi="Frutiger 45 Light" w:cs="Times New Roman"/>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48C"/>
    <w:pPr>
      <w:ind w:left="720"/>
      <w:contextualSpacing/>
    </w:pPr>
  </w:style>
  <w:style w:type="character" w:customStyle="1" w:styleId="Heading2Char">
    <w:name w:val="Heading 2 Char"/>
    <w:basedOn w:val="DefaultParagraphFont"/>
    <w:link w:val="Heading2"/>
    <w:rsid w:val="001A2C33"/>
    <w:rPr>
      <w:rFonts w:ascii="Frutiger 45 Light" w:eastAsia="Times New Roman" w:hAnsi="Frutiger 45 Light" w:cs="Times New Roman"/>
      <w:sz w:val="32"/>
      <w:szCs w:val="20"/>
      <w:lang w:val="en-GB"/>
    </w:rPr>
  </w:style>
  <w:style w:type="paragraph" w:customStyle="1" w:styleId="1">
    <w:name w:val="1"/>
    <w:basedOn w:val="Normal"/>
    <w:rsid w:val="001A2C33"/>
    <w:pPr>
      <w:widowControl w:val="0"/>
      <w:spacing w:before="20" w:after="160" w:line="240" w:lineRule="exact"/>
    </w:pPr>
    <w:rPr>
      <w:rFonts w:ascii="Arial" w:eastAsia="Times New Roman" w:hAnsi="Arial" w:cs="Times New Roman"/>
      <w:sz w:val="20"/>
      <w:szCs w:val="20"/>
    </w:rPr>
  </w:style>
  <w:style w:type="character" w:styleId="Hyperlink">
    <w:name w:val="Hyperlink"/>
    <w:basedOn w:val="DefaultParagraphFont"/>
    <w:rsid w:val="001A2C33"/>
    <w:rPr>
      <w:color w:val="0000FF"/>
      <w:u w:val="single"/>
    </w:rPr>
  </w:style>
  <w:style w:type="paragraph" w:styleId="NormalWeb">
    <w:name w:val="Normal (Web)"/>
    <w:basedOn w:val="Normal"/>
    <w:rsid w:val="001A2C33"/>
    <w:pPr>
      <w:spacing w:before="100" w:beforeAutospacing="1" w:after="150" w:line="336" w:lineRule="auto"/>
    </w:pPr>
    <w:rPr>
      <w:rFonts w:ascii="Times New Roman" w:eastAsia="Times New Roman" w:hAnsi="Times New Roman" w:cs="Times New Roman"/>
      <w:sz w:val="18"/>
      <w:szCs w:val="18"/>
      <w:lang w:val="en-GB" w:eastAsia="en-GB"/>
    </w:rPr>
  </w:style>
  <w:style w:type="paragraph" w:customStyle="1" w:styleId="Default">
    <w:name w:val="Default"/>
    <w:rsid w:val="001A2C33"/>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al.gov.uk/about-lginform" TargetMode="External"/><Relationship Id="rId5" Type="http://schemas.openxmlformats.org/officeDocument/2006/relationships/hyperlink" Target="http://www.loca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Osborne</dc:creator>
  <cp:lastModifiedBy> </cp:lastModifiedBy>
  <cp:revision>2</cp:revision>
  <dcterms:created xsi:type="dcterms:W3CDTF">2012-02-14T11:09:00Z</dcterms:created>
  <dcterms:modified xsi:type="dcterms:W3CDTF">2012-02-14T11:09:00Z</dcterms:modified>
</cp:coreProperties>
</file>