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0E" w:rsidRPr="005A5396" w:rsidRDefault="004A7CA2" w:rsidP="00C4685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5F4CF5" w:rsidRPr="005A5396">
        <w:rPr>
          <w:b/>
          <w:sz w:val="28"/>
          <w:szCs w:val="28"/>
        </w:rPr>
        <w:t>orkshop Evaluation Summary</w:t>
      </w:r>
      <w:r>
        <w:rPr>
          <w:b/>
          <w:sz w:val="28"/>
          <w:szCs w:val="28"/>
        </w:rPr>
        <w:t xml:space="preserve"> 2011-12 </w:t>
      </w:r>
    </w:p>
    <w:p w:rsidR="005A5396" w:rsidRDefault="005A5396" w:rsidP="00C46852">
      <w:pPr>
        <w:spacing w:after="0"/>
        <w:rPr>
          <w:sz w:val="24"/>
          <w:szCs w:val="24"/>
        </w:rPr>
      </w:pPr>
    </w:p>
    <w:p w:rsidR="00AF07EF" w:rsidRPr="00AF07EF" w:rsidRDefault="005F4CF5" w:rsidP="00C46852">
      <w:pPr>
        <w:spacing w:after="0"/>
        <w:rPr>
          <w:sz w:val="24"/>
          <w:szCs w:val="24"/>
        </w:rPr>
      </w:pPr>
      <w:r w:rsidRPr="00AF07EF">
        <w:rPr>
          <w:sz w:val="24"/>
          <w:szCs w:val="24"/>
        </w:rPr>
        <w:t xml:space="preserve">The VCS Children’s centre programme has run nine focus workshops in seven local authorities </w:t>
      </w:r>
      <w:r w:rsidR="00AF07EF" w:rsidRPr="00AF07EF">
        <w:rPr>
          <w:sz w:val="24"/>
          <w:szCs w:val="24"/>
        </w:rPr>
        <w:t>for up to</w:t>
      </w:r>
      <w:r w:rsidRPr="00AF07EF">
        <w:rPr>
          <w:sz w:val="24"/>
          <w:szCs w:val="24"/>
        </w:rPr>
        <w:t xml:space="preserve"> 2</w:t>
      </w:r>
      <w:r w:rsidR="00AF07EF" w:rsidRPr="00AF07EF">
        <w:rPr>
          <w:sz w:val="24"/>
          <w:szCs w:val="24"/>
        </w:rPr>
        <w:t xml:space="preserve">30 </w:t>
      </w:r>
      <w:r w:rsidRPr="00AF07EF">
        <w:rPr>
          <w:sz w:val="24"/>
          <w:szCs w:val="24"/>
        </w:rPr>
        <w:t>participants from children’s centre, local authority and the voluntary and community sector.</w:t>
      </w:r>
      <w:r w:rsidR="00AF07EF" w:rsidRPr="00AF07EF">
        <w:rPr>
          <w:sz w:val="24"/>
          <w:szCs w:val="24"/>
        </w:rPr>
        <w:t xml:space="preserve"> </w:t>
      </w:r>
    </w:p>
    <w:p w:rsidR="00AF07EF" w:rsidRPr="00AF07EF" w:rsidRDefault="00C46852" w:rsidP="00C46852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10795</wp:posOffset>
            </wp:positionV>
            <wp:extent cx="3648075" cy="2743200"/>
            <wp:effectExtent l="19050" t="0" r="9525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AF07EF" w:rsidRPr="00AF07EF">
        <w:rPr>
          <w:sz w:val="24"/>
          <w:szCs w:val="24"/>
        </w:rPr>
        <w:t xml:space="preserve">From the 202 </w:t>
      </w:r>
      <w:r w:rsidR="00AF07EF">
        <w:rPr>
          <w:sz w:val="24"/>
          <w:szCs w:val="24"/>
        </w:rPr>
        <w:t>returns</w:t>
      </w:r>
      <w:r w:rsidR="00AF07EF" w:rsidRPr="00AF07EF">
        <w:rPr>
          <w:sz w:val="24"/>
          <w:szCs w:val="24"/>
        </w:rPr>
        <w:t xml:space="preserve"> we can </w:t>
      </w:r>
      <w:r>
        <w:rPr>
          <w:sz w:val="24"/>
          <w:szCs w:val="24"/>
        </w:rPr>
        <w:t xml:space="preserve">see </w:t>
      </w:r>
      <w:r w:rsidR="00AF07EF" w:rsidRPr="00AF07EF">
        <w:rPr>
          <w:sz w:val="24"/>
          <w:szCs w:val="24"/>
        </w:rPr>
        <w:t>that the overall responses for the workshop in terms of excellent to good ratings were:</w:t>
      </w:r>
    </w:p>
    <w:p w:rsidR="00AF07EF" w:rsidRPr="00AF07EF" w:rsidRDefault="00AF07EF" w:rsidP="00C4685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07EF">
        <w:rPr>
          <w:sz w:val="24"/>
          <w:szCs w:val="24"/>
        </w:rPr>
        <w:t>81% session organisation</w:t>
      </w:r>
    </w:p>
    <w:p w:rsidR="00AF07EF" w:rsidRPr="00AF07EF" w:rsidRDefault="00AF07EF" w:rsidP="00C46852">
      <w:pPr>
        <w:pStyle w:val="ListParagraph"/>
        <w:numPr>
          <w:ilvl w:val="0"/>
          <w:numId w:val="1"/>
        </w:numPr>
        <w:spacing w:after="0" w:line="240" w:lineRule="auto"/>
        <w:ind w:right="-188"/>
        <w:rPr>
          <w:sz w:val="24"/>
          <w:szCs w:val="24"/>
        </w:rPr>
      </w:pPr>
      <w:r w:rsidRPr="00AF07EF">
        <w:rPr>
          <w:sz w:val="24"/>
          <w:szCs w:val="24"/>
        </w:rPr>
        <w:t>75% information provided</w:t>
      </w:r>
    </w:p>
    <w:p w:rsidR="00AF07EF" w:rsidRPr="00AF07EF" w:rsidRDefault="00AF07EF" w:rsidP="00C4685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79</w:t>
      </w:r>
      <w:r w:rsidRPr="00AF07EF">
        <w:rPr>
          <w:sz w:val="24"/>
          <w:szCs w:val="24"/>
        </w:rPr>
        <w:t>% facilitation</w:t>
      </w:r>
    </w:p>
    <w:p w:rsidR="00AF07EF" w:rsidRPr="00B3304E" w:rsidRDefault="00AF07EF" w:rsidP="00C46852">
      <w:pPr>
        <w:spacing w:after="0" w:line="240" w:lineRule="auto"/>
        <w:rPr>
          <w:sz w:val="16"/>
          <w:szCs w:val="16"/>
        </w:rPr>
      </w:pPr>
    </w:p>
    <w:p w:rsidR="00AF07EF" w:rsidRPr="005F4CF5" w:rsidRDefault="00AF07EF" w:rsidP="00C46852">
      <w:pPr>
        <w:spacing w:after="0"/>
        <w:rPr>
          <w:sz w:val="24"/>
          <w:szCs w:val="24"/>
        </w:rPr>
      </w:pPr>
    </w:p>
    <w:p w:rsidR="005F4CF5" w:rsidRDefault="005F4CF5" w:rsidP="00C46852">
      <w:pPr>
        <w:spacing w:after="0"/>
        <w:rPr>
          <w:b/>
          <w:sz w:val="24"/>
          <w:szCs w:val="24"/>
        </w:rPr>
      </w:pPr>
    </w:p>
    <w:p w:rsidR="00AF07EF" w:rsidRDefault="00AF07EF" w:rsidP="00C46852">
      <w:pPr>
        <w:spacing w:after="0"/>
        <w:rPr>
          <w:b/>
          <w:sz w:val="24"/>
          <w:szCs w:val="24"/>
        </w:rPr>
      </w:pPr>
    </w:p>
    <w:p w:rsidR="00AF07EF" w:rsidRDefault="00AF07EF" w:rsidP="00C46852">
      <w:pPr>
        <w:spacing w:after="0"/>
        <w:rPr>
          <w:sz w:val="24"/>
          <w:szCs w:val="24"/>
        </w:rPr>
      </w:pPr>
    </w:p>
    <w:p w:rsidR="00C46852" w:rsidRDefault="00C46852" w:rsidP="00C46852">
      <w:pPr>
        <w:spacing w:after="0"/>
        <w:rPr>
          <w:sz w:val="24"/>
          <w:szCs w:val="24"/>
        </w:rPr>
      </w:pPr>
    </w:p>
    <w:p w:rsidR="00C46852" w:rsidRDefault="00C46852" w:rsidP="00C46852">
      <w:pPr>
        <w:spacing w:after="0"/>
        <w:rPr>
          <w:sz w:val="24"/>
          <w:szCs w:val="24"/>
        </w:rPr>
      </w:pPr>
    </w:p>
    <w:p w:rsidR="00C46852" w:rsidRDefault="00C46852" w:rsidP="00C46852">
      <w:pPr>
        <w:spacing w:after="0"/>
        <w:rPr>
          <w:sz w:val="24"/>
          <w:szCs w:val="24"/>
        </w:rPr>
      </w:pPr>
    </w:p>
    <w:p w:rsidR="00C46852" w:rsidRDefault="00223670" w:rsidP="00C46852">
      <w:pPr>
        <w:spacing w:after="0"/>
        <w:rPr>
          <w:sz w:val="24"/>
          <w:szCs w:val="24"/>
        </w:rPr>
      </w:pPr>
      <w:r>
        <w:rPr>
          <w:sz w:val="24"/>
          <w:szCs w:val="24"/>
        </w:rPr>
        <w:t>A local authority response rate at 24 is the lowest. This reflects that in several events the focus was on children’s centres and VCS only</w:t>
      </w:r>
      <w:r w:rsidR="005A5396">
        <w:rPr>
          <w:sz w:val="24"/>
          <w:szCs w:val="24"/>
        </w:rPr>
        <w:t>.</w:t>
      </w:r>
    </w:p>
    <w:p w:rsidR="00C46852" w:rsidRDefault="00C46852" w:rsidP="00C46852">
      <w:pPr>
        <w:spacing w:after="0"/>
        <w:rPr>
          <w:sz w:val="24"/>
          <w:szCs w:val="24"/>
        </w:rPr>
      </w:pPr>
    </w:p>
    <w:p w:rsidR="00C46852" w:rsidRDefault="00223670" w:rsidP="00C46852">
      <w:pPr>
        <w:spacing w:after="0"/>
        <w:rPr>
          <w:sz w:val="24"/>
          <w:szCs w:val="24"/>
        </w:rPr>
      </w:pPr>
      <w:r w:rsidRPr="00223670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3648075" cy="2743200"/>
            <wp:effectExtent l="19050" t="0" r="9525" b="0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23670" w:rsidRDefault="00223670" w:rsidP="00223670">
      <w:pPr>
        <w:spacing w:after="0"/>
        <w:rPr>
          <w:sz w:val="24"/>
          <w:szCs w:val="24"/>
        </w:rPr>
      </w:pPr>
      <w:r>
        <w:rPr>
          <w:sz w:val="24"/>
          <w:szCs w:val="24"/>
        </w:rPr>
        <w:t>From the returns</w:t>
      </w:r>
      <w:r w:rsidRPr="00AF07EF">
        <w:rPr>
          <w:sz w:val="24"/>
          <w:szCs w:val="24"/>
        </w:rPr>
        <w:t xml:space="preserve"> we can </w:t>
      </w:r>
      <w:r>
        <w:rPr>
          <w:sz w:val="24"/>
          <w:szCs w:val="24"/>
        </w:rPr>
        <w:t xml:space="preserve">see </w:t>
      </w:r>
      <w:r w:rsidRPr="00AF07EF">
        <w:rPr>
          <w:sz w:val="24"/>
          <w:szCs w:val="24"/>
        </w:rPr>
        <w:t>that the overall responses for the workshop in terms of excellent to good ratings were:</w:t>
      </w:r>
    </w:p>
    <w:p w:rsidR="00223670" w:rsidRPr="00AF07EF" w:rsidRDefault="00223670" w:rsidP="00223670">
      <w:pPr>
        <w:spacing w:after="0"/>
        <w:rPr>
          <w:sz w:val="24"/>
          <w:szCs w:val="24"/>
        </w:rPr>
      </w:pPr>
    </w:p>
    <w:p w:rsidR="00223670" w:rsidRPr="00AF07EF" w:rsidRDefault="00223670" w:rsidP="0022367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79</w:t>
      </w:r>
      <w:r w:rsidRPr="00AF07EF">
        <w:rPr>
          <w:sz w:val="24"/>
          <w:szCs w:val="24"/>
        </w:rPr>
        <w:t>% session organisation</w:t>
      </w:r>
    </w:p>
    <w:p w:rsidR="00223670" w:rsidRPr="00AF07EF" w:rsidRDefault="00223670" w:rsidP="00223670">
      <w:pPr>
        <w:pStyle w:val="ListParagraph"/>
        <w:numPr>
          <w:ilvl w:val="0"/>
          <w:numId w:val="1"/>
        </w:numPr>
        <w:spacing w:after="0" w:line="240" w:lineRule="auto"/>
        <w:ind w:right="-188"/>
        <w:rPr>
          <w:sz w:val="24"/>
          <w:szCs w:val="24"/>
        </w:rPr>
      </w:pPr>
      <w:r w:rsidRPr="00AF07EF">
        <w:rPr>
          <w:sz w:val="24"/>
          <w:szCs w:val="24"/>
        </w:rPr>
        <w:t>7</w:t>
      </w:r>
      <w:r>
        <w:rPr>
          <w:sz w:val="24"/>
          <w:szCs w:val="24"/>
        </w:rPr>
        <w:t>9</w:t>
      </w:r>
      <w:r w:rsidRPr="00AF07EF">
        <w:rPr>
          <w:sz w:val="24"/>
          <w:szCs w:val="24"/>
        </w:rPr>
        <w:t>% information provided</w:t>
      </w:r>
    </w:p>
    <w:p w:rsidR="00223670" w:rsidRPr="00AF07EF" w:rsidRDefault="005A5396" w:rsidP="0022367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79</w:t>
      </w:r>
      <w:r w:rsidR="00223670" w:rsidRPr="00AF07EF">
        <w:rPr>
          <w:sz w:val="24"/>
          <w:szCs w:val="24"/>
        </w:rPr>
        <w:t>% facilitation</w:t>
      </w:r>
    </w:p>
    <w:p w:rsidR="00C46852" w:rsidRDefault="00C46852" w:rsidP="00C46852">
      <w:pPr>
        <w:spacing w:after="0"/>
        <w:rPr>
          <w:sz w:val="24"/>
          <w:szCs w:val="24"/>
        </w:rPr>
      </w:pPr>
    </w:p>
    <w:p w:rsidR="00C46852" w:rsidRDefault="00C46852" w:rsidP="00C46852">
      <w:pPr>
        <w:spacing w:after="0"/>
        <w:rPr>
          <w:sz w:val="24"/>
          <w:szCs w:val="24"/>
        </w:rPr>
      </w:pPr>
    </w:p>
    <w:p w:rsidR="00C46852" w:rsidRDefault="00C46852" w:rsidP="00C46852">
      <w:pPr>
        <w:spacing w:after="0"/>
        <w:rPr>
          <w:sz w:val="24"/>
          <w:szCs w:val="24"/>
        </w:rPr>
      </w:pPr>
    </w:p>
    <w:p w:rsidR="00C46852" w:rsidRDefault="00C46852" w:rsidP="00C46852">
      <w:pPr>
        <w:spacing w:after="0"/>
        <w:rPr>
          <w:sz w:val="24"/>
          <w:szCs w:val="24"/>
        </w:rPr>
      </w:pPr>
    </w:p>
    <w:p w:rsidR="00C46852" w:rsidRDefault="00C46852" w:rsidP="00C46852">
      <w:pPr>
        <w:spacing w:after="0"/>
        <w:rPr>
          <w:sz w:val="24"/>
          <w:szCs w:val="24"/>
        </w:rPr>
      </w:pPr>
    </w:p>
    <w:p w:rsidR="00C46852" w:rsidRDefault="00C46852" w:rsidP="00C46852">
      <w:pPr>
        <w:spacing w:after="0"/>
        <w:rPr>
          <w:sz w:val="24"/>
          <w:szCs w:val="24"/>
        </w:rPr>
      </w:pPr>
    </w:p>
    <w:p w:rsidR="00C46852" w:rsidRDefault="00C46852" w:rsidP="00C46852">
      <w:pPr>
        <w:spacing w:after="0"/>
        <w:rPr>
          <w:sz w:val="24"/>
          <w:szCs w:val="24"/>
        </w:rPr>
      </w:pPr>
    </w:p>
    <w:p w:rsidR="00A7154E" w:rsidRDefault="00A7154E" w:rsidP="00C46852">
      <w:pPr>
        <w:spacing w:after="0"/>
        <w:rPr>
          <w:sz w:val="24"/>
          <w:szCs w:val="24"/>
        </w:rPr>
      </w:pPr>
    </w:p>
    <w:p w:rsidR="00A7154E" w:rsidRDefault="00A7154E" w:rsidP="00C46852">
      <w:pPr>
        <w:spacing w:after="0"/>
        <w:rPr>
          <w:sz w:val="24"/>
          <w:szCs w:val="24"/>
        </w:rPr>
      </w:pPr>
    </w:p>
    <w:p w:rsidR="00C46852" w:rsidRDefault="00C46852" w:rsidP="00C46852">
      <w:pPr>
        <w:spacing w:after="0"/>
        <w:rPr>
          <w:sz w:val="24"/>
          <w:szCs w:val="24"/>
        </w:rPr>
      </w:pPr>
    </w:p>
    <w:p w:rsidR="00AF07EF" w:rsidRDefault="00AF07EF" w:rsidP="00C46852">
      <w:pPr>
        <w:spacing w:after="0"/>
        <w:rPr>
          <w:sz w:val="24"/>
          <w:szCs w:val="24"/>
        </w:rPr>
      </w:pPr>
      <w:r w:rsidRPr="00AF07EF">
        <w:rPr>
          <w:sz w:val="24"/>
          <w:szCs w:val="24"/>
        </w:rPr>
        <w:lastRenderedPageBreak/>
        <w:t>In terms of the individual stakeholders the evaluations were as follows</w:t>
      </w:r>
      <w:r w:rsidR="00C46852">
        <w:rPr>
          <w:sz w:val="24"/>
          <w:szCs w:val="24"/>
        </w:rPr>
        <w:t xml:space="preserve">. This is based on 74 returns. </w:t>
      </w:r>
    </w:p>
    <w:p w:rsidR="00C46852" w:rsidRPr="00AF07EF" w:rsidRDefault="00C46852" w:rsidP="00C46852">
      <w:pPr>
        <w:spacing w:after="0"/>
        <w:rPr>
          <w:sz w:val="24"/>
          <w:szCs w:val="24"/>
        </w:rPr>
      </w:pPr>
      <w:r w:rsidRPr="00C46852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3648075" cy="3171825"/>
            <wp:effectExtent l="19050" t="0" r="9525" b="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sz w:val="24"/>
          <w:szCs w:val="24"/>
        </w:rPr>
        <w:t>T</w:t>
      </w:r>
      <w:r w:rsidRPr="00AF07EF">
        <w:rPr>
          <w:sz w:val="24"/>
          <w:szCs w:val="24"/>
        </w:rPr>
        <w:t>he overall responses for the workshop in terms of excellent to good ratings were:</w:t>
      </w:r>
    </w:p>
    <w:p w:rsidR="00C46852" w:rsidRPr="00AF07EF" w:rsidRDefault="00C46852" w:rsidP="00C4685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74</w:t>
      </w:r>
      <w:r w:rsidRPr="00AF07EF">
        <w:rPr>
          <w:sz w:val="24"/>
          <w:szCs w:val="24"/>
        </w:rPr>
        <w:t>% session organisation</w:t>
      </w:r>
    </w:p>
    <w:p w:rsidR="00C46852" w:rsidRPr="00AF07EF" w:rsidRDefault="00C46852" w:rsidP="00C46852">
      <w:pPr>
        <w:pStyle w:val="ListParagraph"/>
        <w:numPr>
          <w:ilvl w:val="0"/>
          <w:numId w:val="1"/>
        </w:numPr>
        <w:spacing w:after="0" w:line="240" w:lineRule="auto"/>
        <w:ind w:right="-188"/>
        <w:rPr>
          <w:sz w:val="24"/>
          <w:szCs w:val="24"/>
        </w:rPr>
      </w:pPr>
      <w:r>
        <w:rPr>
          <w:sz w:val="24"/>
          <w:szCs w:val="24"/>
        </w:rPr>
        <w:t>71</w:t>
      </w:r>
      <w:r w:rsidRPr="00AF07EF">
        <w:rPr>
          <w:sz w:val="24"/>
          <w:szCs w:val="24"/>
        </w:rPr>
        <w:t>% information provided</w:t>
      </w:r>
    </w:p>
    <w:p w:rsidR="00C46852" w:rsidRPr="00AF07EF" w:rsidRDefault="00C46852" w:rsidP="00C4685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73</w:t>
      </w:r>
      <w:r w:rsidRPr="00AF07EF">
        <w:rPr>
          <w:sz w:val="24"/>
          <w:szCs w:val="24"/>
        </w:rPr>
        <w:t>% facilitation</w:t>
      </w:r>
    </w:p>
    <w:p w:rsidR="00C46852" w:rsidRDefault="00C46852" w:rsidP="00C46852">
      <w:pPr>
        <w:spacing w:after="0"/>
        <w:rPr>
          <w:sz w:val="24"/>
          <w:szCs w:val="24"/>
        </w:rPr>
      </w:pPr>
    </w:p>
    <w:p w:rsidR="00C46852" w:rsidRDefault="00C46852" w:rsidP="00C46852">
      <w:pPr>
        <w:spacing w:after="0"/>
        <w:rPr>
          <w:sz w:val="24"/>
          <w:szCs w:val="24"/>
        </w:rPr>
      </w:pPr>
    </w:p>
    <w:p w:rsidR="00C46852" w:rsidRDefault="00C46852" w:rsidP="00C46852">
      <w:pPr>
        <w:spacing w:after="0"/>
        <w:rPr>
          <w:sz w:val="24"/>
          <w:szCs w:val="24"/>
        </w:rPr>
      </w:pPr>
    </w:p>
    <w:p w:rsidR="00C46852" w:rsidRDefault="00C46852" w:rsidP="00C46852">
      <w:pPr>
        <w:spacing w:after="0"/>
        <w:rPr>
          <w:sz w:val="24"/>
          <w:szCs w:val="24"/>
        </w:rPr>
      </w:pPr>
    </w:p>
    <w:p w:rsidR="00C46852" w:rsidRDefault="00C46852" w:rsidP="00C46852">
      <w:pPr>
        <w:spacing w:after="0"/>
        <w:rPr>
          <w:sz w:val="24"/>
          <w:szCs w:val="24"/>
        </w:rPr>
      </w:pPr>
    </w:p>
    <w:p w:rsidR="00C46852" w:rsidRDefault="00C46852" w:rsidP="00C46852">
      <w:pPr>
        <w:spacing w:after="0"/>
        <w:rPr>
          <w:sz w:val="24"/>
          <w:szCs w:val="24"/>
        </w:rPr>
      </w:pPr>
    </w:p>
    <w:p w:rsidR="00A7154E" w:rsidRDefault="00A7154E" w:rsidP="00C46852">
      <w:pPr>
        <w:spacing w:after="0"/>
        <w:rPr>
          <w:sz w:val="24"/>
          <w:szCs w:val="24"/>
        </w:rPr>
      </w:pPr>
    </w:p>
    <w:p w:rsidR="00A7154E" w:rsidRDefault="00A7154E" w:rsidP="00C46852">
      <w:pPr>
        <w:spacing w:after="0"/>
        <w:rPr>
          <w:sz w:val="24"/>
          <w:szCs w:val="24"/>
        </w:rPr>
      </w:pPr>
    </w:p>
    <w:p w:rsidR="00A7154E" w:rsidRDefault="00A7154E" w:rsidP="00C46852">
      <w:pPr>
        <w:spacing w:after="0"/>
        <w:rPr>
          <w:sz w:val="24"/>
          <w:szCs w:val="24"/>
        </w:rPr>
      </w:pPr>
    </w:p>
    <w:p w:rsidR="00A7154E" w:rsidRDefault="00A7154E" w:rsidP="00C46852">
      <w:pPr>
        <w:spacing w:after="0"/>
        <w:rPr>
          <w:sz w:val="24"/>
          <w:szCs w:val="24"/>
        </w:rPr>
      </w:pPr>
    </w:p>
    <w:p w:rsidR="00C46852" w:rsidRPr="00C46852" w:rsidRDefault="00275804" w:rsidP="00C46852">
      <w:pPr>
        <w:spacing w:after="0"/>
        <w:rPr>
          <w:sz w:val="24"/>
          <w:szCs w:val="24"/>
        </w:rPr>
      </w:pPr>
      <w:r>
        <w:rPr>
          <w:sz w:val="24"/>
          <w:szCs w:val="24"/>
        </w:rPr>
        <w:t>None of the partners included school-run children’s centres in task groups or in the workshops bar one local authority.  The responses are</w:t>
      </w:r>
      <w:r w:rsidR="00C46852">
        <w:rPr>
          <w:sz w:val="24"/>
          <w:szCs w:val="24"/>
        </w:rPr>
        <w:t xml:space="preserve"> shown here. These numbers are not in any other table but are here to illustrate that schools </w:t>
      </w:r>
      <w:r w:rsidR="00A7154E">
        <w:rPr>
          <w:sz w:val="24"/>
          <w:szCs w:val="24"/>
        </w:rPr>
        <w:t>may</w:t>
      </w:r>
      <w:r w:rsidR="00C46852">
        <w:rPr>
          <w:sz w:val="24"/>
          <w:szCs w:val="24"/>
        </w:rPr>
        <w:t xml:space="preserve"> need a different approach.</w:t>
      </w:r>
      <w:r w:rsidR="00A7154E">
        <w:rPr>
          <w:sz w:val="24"/>
          <w:szCs w:val="24"/>
        </w:rPr>
        <w:t xml:space="preserve"> The other stakeholder evaluations were only slightly lower in levels to the feedback from other events.</w:t>
      </w:r>
    </w:p>
    <w:p w:rsidR="00275804" w:rsidRDefault="00275804" w:rsidP="00C46852">
      <w:pPr>
        <w:spacing w:after="0" w:line="240" w:lineRule="auto"/>
        <w:rPr>
          <w:sz w:val="24"/>
          <w:szCs w:val="24"/>
        </w:rPr>
      </w:pPr>
    </w:p>
    <w:p w:rsidR="00275804" w:rsidRDefault="00275804" w:rsidP="00C4685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5080</wp:posOffset>
            </wp:positionV>
            <wp:extent cx="3695700" cy="3895725"/>
            <wp:effectExtent l="19050" t="0" r="19050" b="0"/>
            <wp:wrapSquare wrapText="bothSides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C46852" w:rsidRDefault="00C46852" w:rsidP="00C46852">
      <w:pPr>
        <w:spacing w:after="0" w:line="240" w:lineRule="auto"/>
        <w:rPr>
          <w:sz w:val="24"/>
          <w:szCs w:val="24"/>
        </w:rPr>
      </w:pPr>
      <w:r w:rsidRPr="001478F0">
        <w:rPr>
          <w:sz w:val="24"/>
          <w:szCs w:val="24"/>
        </w:rPr>
        <w:t xml:space="preserve">The overall responses for the workshop </w:t>
      </w:r>
      <w:r>
        <w:rPr>
          <w:sz w:val="24"/>
          <w:szCs w:val="24"/>
        </w:rPr>
        <w:t>in terms of excellent to good were:</w:t>
      </w:r>
    </w:p>
    <w:p w:rsidR="00C46852" w:rsidRPr="000D039C" w:rsidRDefault="00C46852" w:rsidP="00C46852">
      <w:pPr>
        <w:spacing w:after="0" w:line="240" w:lineRule="auto"/>
        <w:rPr>
          <w:sz w:val="16"/>
          <w:szCs w:val="16"/>
        </w:rPr>
      </w:pPr>
    </w:p>
    <w:p w:rsidR="00C46852" w:rsidRDefault="00C46852" w:rsidP="00C4685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5A5396">
        <w:rPr>
          <w:sz w:val="24"/>
          <w:szCs w:val="24"/>
        </w:rPr>
        <w:t>% session o</w:t>
      </w:r>
      <w:r>
        <w:rPr>
          <w:sz w:val="24"/>
          <w:szCs w:val="24"/>
        </w:rPr>
        <w:t>rganisation</w:t>
      </w:r>
    </w:p>
    <w:p w:rsidR="00C46852" w:rsidRDefault="00C46852" w:rsidP="00C4685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5A5396">
        <w:rPr>
          <w:sz w:val="24"/>
          <w:szCs w:val="24"/>
        </w:rPr>
        <w:t>% i</w:t>
      </w:r>
      <w:r>
        <w:rPr>
          <w:sz w:val="24"/>
          <w:szCs w:val="24"/>
        </w:rPr>
        <w:t>nformation provided</w:t>
      </w:r>
    </w:p>
    <w:p w:rsidR="00C46852" w:rsidRPr="00E14315" w:rsidRDefault="00C46852" w:rsidP="00C4685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5A5396">
        <w:rPr>
          <w:sz w:val="24"/>
          <w:szCs w:val="24"/>
        </w:rPr>
        <w:t>% f</w:t>
      </w:r>
      <w:r>
        <w:rPr>
          <w:sz w:val="24"/>
          <w:szCs w:val="24"/>
        </w:rPr>
        <w:t>acilitation</w:t>
      </w:r>
    </w:p>
    <w:p w:rsidR="00C46852" w:rsidRPr="001D5582" w:rsidRDefault="00C46852" w:rsidP="00C46852">
      <w:pPr>
        <w:spacing w:after="0" w:line="240" w:lineRule="auto"/>
        <w:rPr>
          <w:sz w:val="16"/>
          <w:szCs w:val="16"/>
        </w:rPr>
      </w:pPr>
    </w:p>
    <w:p w:rsidR="00C46852" w:rsidRDefault="00C46852">
      <w:pPr>
        <w:rPr>
          <w:sz w:val="24"/>
          <w:szCs w:val="24"/>
        </w:rPr>
      </w:pPr>
    </w:p>
    <w:p w:rsidR="005A5396" w:rsidRDefault="005A5396">
      <w:pPr>
        <w:rPr>
          <w:sz w:val="24"/>
          <w:szCs w:val="24"/>
        </w:rPr>
      </w:pPr>
    </w:p>
    <w:p w:rsidR="005A5396" w:rsidRDefault="005A5396">
      <w:pPr>
        <w:rPr>
          <w:sz w:val="24"/>
          <w:szCs w:val="24"/>
        </w:rPr>
      </w:pPr>
    </w:p>
    <w:p w:rsidR="005A5396" w:rsidRDefault="005A5396">
      <w:pPr>
        <w:rPr>
          <w:sz w:val="24"/>
          <w:szCs w:val="24"/>
        </w:rPr>
      </w:pPr>
    </w:p>
    <w:p w:rsidR="005A5396" w:rsidRDefault="005A5396">
      <w:pPr>
        <w:rPr>
          <w:sz w:val="24"/>
          <w:szCs w:val="24"/>
        </w:rPr>
      </w:pPr>
    </w:p>
    <w:p w:rsidR="005A5396" w:rsidRDefault="005A5396">
      <w:pPr>
        <w:rPr>
          <w:sz w:val="24"/>
          <w:szCs w:val="24"/>
        </w:rPr>
      </w:pPr>
    </w:p>
    <w:p w:rsidR="005A5396" w:rsidRDefault="005A5396">
      <w:pPr>
        <w:rPr>
          <w:sz w:val="24"/>
          <w:szCs w:val="24"/>
        </w:rPr>
      </w:pPr>
    </w:p>
    <w:p w:rsidR="005A5396" w:rsidRDefault="005A5396">
      <w:pPr>
        <w:rPr>
          <w:sz w:val="24"/>
          <w:szCs w:val="24"/>
        </w:rPr>
      </w:pPr>
    </w:p>
    <w:p w:rsidR="005A5396" w:rsidRDefault="005A5396">
      <w:pPr>
        <w:rPr>
          <w:sz w:val="24"/>
          <w:szCs w:val="24"/>
        </w:rPr>
      </w:pPr>
    </w:p>
    <w:p w:rsidR="005A5396" w:rsidRDefault="005A5396">
      <w:pPr>
        <w:rPr>
          <w:sz w:val="24"/>
          <w:szCs w:val="24"/>
        </w:rPr>
      </w:pPr>
      <w:r w:rsidRPr="005A5396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428625</wp:posOffset>
            </wp:positionV>
            <wp:extent cx="3648075" cy="3095625"/>
            <wp:effectExtent l="19050" t="0" r="9525" b="0"/>
            <wp:wrapSquare wrapText="bothSides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4"/>
          <w:szCs w:val="24"/>
        </w:rPr>
        <w:t>At 104 responses the VCS was by far the biggest stakeholder at the events.</w:t>
      </w:r>
    </w:p>
    <w:p w:rsidR="005A5396" w:rsidRDefault="005A5396" w:rsidP="005A5396">
      <w:pPr>
        <w:spacing w:after="0" w:line="240" w:lineRule="auto"/>
        <w:rPr>
          <w:noProof/>
          <w:sz w:val="24"/>
          <w:szCs w:val="24"/>
          <w:lang w:eastAsia="en-GB"/>
        </w:rPr>
      </w:pPr>
    </w:p>
    <w:p w:rsidR="005A5396" w:rsidRDefault="005A5396" w:rsidP="005A5396">
      <w:pPr>
        <w:spacing w:after="0" w:line="240" w:lineRule="auto"/>
        <w:rPr>
          <w:sz w:val="24"/>
          <w:szCs w:val="24"/>
        </w:rPr>
      </w:pPr>
      <w:r w:rsidRPr="001478F0">
        <w:rPr>
          <w:sz w:val="24"/>
          <w:szCs w:val="24"/>
        </w:rPr>
        <w:t xml:space="preserve">The overall responses for the workshop </w:t>
      </w:r>
      <w:r>
        <w:rPr>
          <w:sz w:val="24"/>
          <w:szCs w:val="24"/>
        </w:rPr>
        <w:t>in terms of excellent to good were:</w:t>
      </w:r>
    </w:p>
    <w:p w:rsidR="005A5396" w:rsidRPr="000D039C" w:rsidRDefault="005A5396" w:rsidP="005A5396">
      <w:pPr>
        <w:spacing w:after="0" w:line="240" w:lineRule="auto"/>
        <w:rPr>
          <w:sz w:val="16"/>
          <w:szCs w:val="16"/>
        </w:rPr>
      </w:pPr>
    </w:p>
    <w:p w:rsidR="005A5396" w:rsidRDefault="005A5396" w:rsidP="005A539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85% session organisation</w:t>
      </w:r>
    </w:p>
    <w:p w:rsidR="005A5396" w:rsidRDefault="005A5396" w:rsidP="005A539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77% information provided</w:t>
      </w:r>
    </w:p>
    <w:p w:rsidR="005A5396" w:rsidRPr="00E14315" w:rsidRDefault="005A5396" w:rsidP="005A539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86% facilitation</w:t>
      </w:r>
    </w:p>
    <w:p w:rsidR="005A5396" w:rsidRDefault="005A5396">
      <w:pPr>
        <w:rPr>
          <w:sz w:val="24"/>
          <w:szCs w:val="24"/>
        </w:rPr>
      </w:pPr>
    </w:p>
    <w:p w:rsidR="005A5396" w:rsidRDefault="005A5396">
      <w:pPr>
        <w:rPr>
          <w:sz w:val="24"/>
          <w:szCs w:val="24"/>
        </w:rPr>
      </w:pPr>
    </w:p>
    <w:p w:rsidR="005A5396" w:rsidRDefault="005A5396">
      <w:pPr>
        <w:rPr>
          <w:sz w:val="24"/>
          <w:szCs w:val="24"/>
        </w:rPr>
      </w:pPr>
    </w:p>
    <w:p w:rsidR="005A5396" w:rsidRDefault="005A5396">
      <w:pPr>
        <w:rPr>
          <w:sz w:val="24"/>
          <w:szCs w:val="24"/>
        </w:rPr>
      </w:pPr>
    </w:p>
    <w:p w:rsidR="005A5396" w:rsidRDefault="005A5396">
      <w:pPr>
        <w:rPr>
          <w:sz w:val="24"/>
          <w:szCs w:val="24"/>
        </w:rPr>
      </w:pPr>
    </w:p>
    <w:p w:rsidR="005A5396" w:rsidRDefault="005A5396">
      <w:pPr>
        <w:rPr>
          <w:sz w:val="24"/>
          <w:szCs w:val="24"/>
        </w:rPr>
      </w:pPr>
    </w:p>
    <w:p w:rsidR="005A5396" w:rsidRPr="006D5FDE" w:rsidRDefault="005A5396">
      <w:pPr>
        <w:rPr>
          <w:sz w:val="24"/>
          <w:szCs w:val="24"/>
        </w:rPr>
      </w:pPr>
      <w:r w:rsidRPr="005A5396">
        <w:rPr>
          <w:b/>
          <w:sz w:val="24"/>
          <w:szCs w:val="24"/>
        </w:rPr>
        <w:t>Some factors affecting feedback</w:t>
      </w:r>
      <w:r>
        <w:rPr>
          <w:b/>
          <w:sz w:val="24"/>
          <w:szCs w:val="24"/>
        </w:rPr>
        <w:t xml:space="preserve"> and evaluation</w:t>
      </w:r>
    </w:p>
    <w:p w:rsidR="005A5396" w:rsidRDefault="006D5FDE" w:rsidP="006D5FD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Some early events had confusing joining and starting times due to local admin errors. This was prevented by checking and amending what later organisers sent out.</w:t>
      </w:r>
    </w:p>
    <w:p w:rsidR="00D51939" w:rsidRDefault="00D51939" w:rsidP="00D51939">
      <w:pPr>
        <w:pStyle w:val="ListParagraph"/>
        <w:rPr>
          <w:sz w:val="24"/>
          <w:szCs w:val="24"/>
        </w:rPr>
      </w:pPr>
    </w:p>
    <w:p w:rsidR="006D5FDE" w:rsidRDefault="006D5FDE" w:rsidP="006D5FD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Some participants at most of the events were under the impression that it was a formal consultation event – this was managed by announcements and reference to the aims from the LA, 4Children and the VCS representatives with varying success.</w:t>
      </w:r>
    </w:p>
    <w:p w:rsidR="00D51939" w:rsidRDefault="00D51939" w:rsidP="00D51939">
      <w:pPr>
        <w:pStyle w:val="ListParagraph"/>
        <w:rPr>
          <w:sz w:val="24"/>
          <w:szCs w:val="24"/>
        </w:rPr>
      </w:pPr>
    </w:p>
    <w:p w:rsidR="006D5FDE" w:rsidRDefault="00D51939" w:rsidP="00D5193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Attendees who thought it was a consultation event often demanded more information on models/governance where as those who understood it was a means of generating discussion wanted less.</w:t>
      </w:r>
      <w:r w:rsidR="006D5FDE">
        <w:rPr>
          <w:sz w:val="24"/>
          <w:szCs w:val="24"/>
        </w:rPr>
        <w:t xml:space="preserve"> </w:t>
      </w:r>
      <w:r>
        <w:rPr>
          <w:sz w:val="24"/>
          <w:szCs w:val="24"/>
        </w:rPr>
        <w:t>So the information activity became a group problem-solving exercise based on amended factsheets.</w:t>
      </w:r>
    </w:p>
    <w:p w:rsidR="00D51939" w:rsidRPr="00D51939" w:rsidRDefault="00D51939" w:rsidP="00D51939">
      <w:pPr>
        <w:pStyle w:val="ListParagraph"/>
        <w:rPr>
          <w:sz w:val="24"/>
          <w:szCs w:val="24"/>
        </w:rPr>
      </w:pPr>
    </w:p>
    <w:p w:rsidR="00D51939" w:rsidRPr="006D5FDE" w:rsidRDefault="00275804" w:rsidP="006D5FD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number of venues organised by the local authorities had problems such as poor acoustic, overheating, refreshments, joining instructions to the venue that influenced responses as to the workshop activities.</w:t>
      </w:r>
    </w:p>
    <w:sectPr w:rsidR="00D51939" w:rsidRPr="006D5FDE" w:rsidSect="00C46852">
      <w:headerReference w:type="default" r:id="rId12"/>
      <w:pgSz w:w="11906" w:h="16838"/>
      <w:pgMar w:top="568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DD" w:rsidRDefault="00D221DD" w:rsidP="005A5396">
      <w:pPr>
        <w:spacing w:after="0" w:line="240" w:lineRule="auto"/>
      </w:pPr>
      <w:r>
        <w:separator/>
      </w:r>
    </w:p>
  </w:endnote>
  <w:endnote w:type="continuationSeparator" w:id="0">
    <w:p w:rsidR="00D221DD" w:rsidRDefault="00D221DD" w:rsidP="005A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DD" w:rsidRDefault="00D221DD" w:rsidP="005A5396">
      <w:pPr>
        <w:spacing w:after="0" w:line="240" w:lineRule="auto"/>
      </w:pPr>
      <w:r>
        <w:separator/>
      </w:r>
    </w:p>
  </w:footnote>
  <w:footnote w:type="continuationSeparator" w:id="0">
    <w:p w:rsidR="00D221DD" w:rsidRDefault="00D221DD" w:rsidP="005A5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46357"/>
      <w:docPartObj>
        <w:docPartGallery w:val="Page Numbers (Top of Page)"/>
        <w:docPartUnique/>
      </w:docPartObj>
    </w:sdtPr>
    <w:sdtContent>
      <w:p w:rsidR="005A5396" w:rsidRDefault="00C901C2">
        <w:pPr>
          <w:pStyle w:val="Header"/>
          <w:jc w:val="right"/>
        </w:pPr>
        <w:fldSimple w:instr=" PAGE   \* MERGEFORMAT ">
          <w:r w:rsidR="00937656">
            <w:rPr>
              <w:noProof/>
            </w:rPr>
            <w:t>1</w:t>
          </w:r>
        </w:fldSimple>
      </w:p>
    </w:sdtContent>
  </w:sdt>
  <w:p w:rsidR="005A5396" w:rsidRDefault="005A53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3D9"/>
    <w:multiLevelType w:val="hybridMultilevel"/>
    <w:tmpl w:val="7AF21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71BC0"/>
    <w:multiLevelType w:val="hybridMultilevel"/>
    <w:tmpl w:val="D3142364"/>
    <w:lvl w:ilvl="0" w:tplc="7C6CA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80D48"/>
    <w:multiLevelType w:val="hybridMultilevel"/>
    <w:tmpl w:val="4B265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CF5"/>
    <w:rsid w:val="00223670"/>
    <w:rsid w:val="00275804"/>
    <w:rsid w:val="004A7CA2"/>
    <w:rsid w:val="00593CFC"/>
    <w:rsid w:val="005A5396"/>
    <w:rsid w:val="005F4CF5"/>
    <w:rsid w:val="006D5FDE"/>
    <w:rsid w:val="00920F40"/>
    <w:rsid w:val="00937656"/>
    <w:rsid w:val="00A532BB"/>
    <w:rsid w:val="00A7154E"/>
    <w:rsid w:val="00AF07EF"/>
    <w:rsid w:val="00C46852"/>
    <w:rsid w:val="00C901C2"/>
    <w:rsid w:val="00D221DD"/>
    <w:rsid w:val="00D51939"/>
    <w:rsid w:val="00F2080E"/>
    <w:rsid w:val="00FC0430"/>
    <w:rsid w:val="00FC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7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7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396"/>
  </w:style>
  <w:style w:type="paragraph" w:styleId="Footer">
    <w:name w:val="footer"/>
    <w:basedOn w:val="Normal"/>
    <w:link w:val="FooterChar"/>
    <w:uiPriority w:val="99"/>
    <w:semiHidden/>
    <w:unhideWhenUsed/>
    <w:rsid w:val="005A5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hn%20Alwyine-Mosely\Documents\Event%20Rating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hn%20Alwyine-Mosely\Documents\Event%20Rating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hn%20Alwyine-Mosely\Documents\Event%20Rating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hn%20Alwyine-Mosely\Documents\Event%20Rating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hn%20Alwyine-Mosely\Documents\Event%20Rating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GB" sz="1400"/>
              <a:t>Overall Evaluation</a:t>
            </a:r>
          </a:p>
        </c:rich>
      </c:tx>
      <c:layout>
        <c:manualLayout>
          <c:xMode val="edge"/>
          <c:yMode val="edge"/>
          <c:x val="0.30569190600522195"/>
          <c:y val="2.777777777777783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Total!$B$11</c:f>
              <c:strCache>
                <c:ptCount val="1"/>
                <c:pt idx="0">
                  <c:v>Poor</c:v>
                </c:pt>
              </c:strCache>
            </c:strRef>
          </c:tx>
          <c:cat>
            <c:strRef>
              <c:f>Total!$A$12:$A$14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Total!$B$12:$B$14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Total!$C$11</c:f>
              <c:strCache>
                <c:ptCount val="1"/>
                <c:pt idx="0">
                  <c:v>Fair</c:v>
                </c:pt>
              </c:strCache>
            </c:strRef>
          </c:tx>
          <c:cat>
            <c:strRef>
              <c:f>Total!$A$12:$A$14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Total!$C$12:$C$14</c:f>
              <c:numCache>
                <c:formatCode>General</c:formatCode>
                <c:ptCount val="3"/>
                <c:pt idx="0">
                  <c:v>32</c:v>
                </c:pt>
                <c:pt idx="1">
                  <c:v>43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Total!$D$11</c:f>
              <c:strCache>
                <c:ptCount val="1"/>
                <c:pt idx="0">
                  <c:v>Good</c:v>
                </c:pt>
              </c:strCache>
            </c:strRef>
          </c:tx>
          <c:cat>
            <c:strRef>
              <c:f>Total!$A$12:$A$14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Total!$D$12:$D$14</c:f>
              <c:numCache>
                <c:formatCode>General</c:formatCode>
                <c:ptCount val="3"/>
                <c:pt idx="0">
                  <c:v>120</c:v>
                </c:pt>
                <c:pt idx="1">
                  <c:v>114</c:v>
                </c:pt>
                <c:pt idx="2">
                  <c:v>115</c:v>
                </c:pt>
              </c:numCache>
            </c:numRef>
          </c:val>
        </c:ser>
        <c:ser>
          <c:idx val="3"/>
          <c:order val="3"/>
          <c:tx>
            <c:strRef>
              <c:f>Total!$E$11</c:f>
              <c:strCache>
                <c:ptCount val="1"/>
                <c:pt idx="0">
                  <c:v>Excellent</c:v>
                </c:pt>
              </c:strCache>
            </c:strRef>
          </c:tx>
          <c:cat>
            <c:strRef>
              <c:f>Total!$A$12:$A$14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Total!$E$12:$E$14</c:f>
              <c:numCache>
                <c:formatCode>General</c:formatCode>
                <c:ptCount val="3"/>
                <c:pt idx="0">
                  <c:v>43</c:v>
                </c:pt>
                <c:pt idx="1">
                  <c:v>38</c:v>
                </c:pt>
                <c:pt idx="2">
                  <c:v>48</c:v>
                </c:pt>
              </c:numCache>
            </c:numRef>
          </c:val>
        </c:ser>
        <c:axId val="162467840"/>
        <c:axId val="162469760"/>
      </c:barChart>
      <c:catAx>
        <c:axId val="162467840"/>
        <c:scaling>
          <c:orientation val="minMax"/>
        </c:scaling>
        <c:axPos val="b"/>
        <c:majorTickMark val="none"/>
        <c:tickLblPos val="nextTo"/>
        <c:crossAx val="162469760"/>
        <c:crosses val="autoZero"/>
        <c:auto val="1"/>
        <c:lblAlgn val="ctr"/>
        <c:lblOffset val="100"/>
      </c:catAx>
      <c:valAx>
        <c:axId val="1624697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Responses by rating</a:t>
                </a:r>
              </a:p>
            </c:rich>
          </c:tx>
        </c:title>
        <c:numFmt formatCode="General" sourceLinked="1"/>
        <c:majorTickMark val="none"/>
        <c:tickLblPos val="nextTo"/>
        <c:crossAx val="1624678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GB" sz="1400"/>
              <a:t>Overall Local Authority Evaluation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Total!$B$6</c:f>
              <c:strCache>
                <c:ptCount val="1"/>
                <c:pt idx="0">
                  <c:v>Poor</c:v>
                </c:pt>
              </c:strCache>
            </c:strRef>
          </c:tx>
          <c:cat>
            <c:strRef>
              <c:f>Total!$A$7:$A$9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Total!$B$7:$B$9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Total!$C$6</c:f>
              <c:strCache>
                <c:ptCount val="1"/>
                <c:pt idx="0">
                  <c:v>Fair</c:v>
                </c:pt>
              </c:strCache>
            </c:strRef>
          </c:tx>
          <c:cat>
            <c:strRef>
              <c:f>Total!$A$7:$A$9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Total!$C$7:$C$9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Total!$D$6</c:f>
              <c:strCache>
                <c:ptCount val="1"/>
                <c:pt idx="0">
                  <c:v>Good</c:v>
                </c:pt>
              </c:strCache>
            </c:strRef>
          </c:tx>
          <c:cat>
            <c:strRef>
              <c:f>Total!$A$7:$A$9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Total!$D$7:$D$9</c:f>
              <c:numCache>
                <c:formatCode>General</c:formatCode>
                <c:ptCount val="3"/>
                <c:pt idx="0">
                  <c:v>13</c:v>
                </c:pt>
                <c:pt idx="1">
                  <c:v>13</c:v>
                </c:pt>
                <c:pt idx="2">
                  <c:v>12</c:v>
                </c:pt>
              </c:numCache>
            </c:numRef>
          </c:val>
        </c:ser>
        <c:ser>
          <c:idx val="3"/>
          <c:order val="3"/>
          <c:tx>
            <c:strRef>
              <c:f>Total!$E$6</c:f>
              <c:strCache>
                <c:ptCount val="1"/>
                <c:pt idx="0">
                  <c:v>Excellent</c:v>
                </c:pt>
              </c:strCache>
            </c:strRef>
          </c:tx>
          <c:cat>
            <c:strRef>
              <c:f>Total!$A$7:$A$9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Total!$E$7:$E$9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</c:ser>
        <c:axId val="110020096"/>
        <c:axId val="110021632"/>
      </c:barChart>
      <c:catAx>
        <c:axId val="110020096"/>
        <c:scaling>
          <c:orientation val="minMax"/>
        </c:scaling>
        <c:axPos val="b"/>
        <c:majorTickMark val="none"/>
        <c:tickLblPos val="nextTo"/>
        <c:crossAx val="110021632"/>
        <c:crosses val="autoZero"/>
        <c:auto val="1"/>
        <c:lblAlgn val="ctr"/>
        <c:lblOffset val="100"/>
      </c:catAx>
      <c:valAx>
        <c:axId val="11002163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Responses</a:t>
                </a:r>
                <a:r>
                  <a:rPr lang="en-GB" baseline="0"/>
                  <a:t> by rating</a:t>
                </a:r>
                <a:endParaRPr lang="en-GB"/>
              </a:p>
            </c:rich>
          </c:tx>
        </c:title>
        <c:numFmt formatCode="General" sourceLinked="1"/>
        <c:majorTickMark val="none"/>
        <c:tickLblPos val="nextTo"/>
        <c:crossAx val="1100200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GB" sz="1400"/>
              <a:t>Overall Children's</a:t>
            </a:r>
            <a:r>
              <a:rPr lang="en-GB" sz="1400" baseline="0"/>
              <a:t> Centre Evaluation</a:t>
            </a:r>
            <a:endParaRPr lang="en-GB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Total!$B$1</c:f>
              <c:strCache>
                <c:ptCount val="1"/>
                <c:pt idx="0">
                  <c:v>Poor</c:v>
                </c:pt>
              </c:strCache>
            </c:strRef>
          </c:tx>
          <c:cat>
            <c:strRef>
              <c:f>Total!$A$2:$A$4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Total!$B$2:$B$4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Total!$C$1</c:f>
              <c:strCache>
                <c:ptCount val="1"/>
                <c:pt idx="0">
                  <c:v>Fair</c:v>
                </c:pt>
              </c:strCache>
            </c:strRef>
          </c:tx>
          <c:cat>
            <c:strRef>
              <c:f>Total!$A$2:$A$4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Total!$C$2:$C$4</c:f>
              <c:numCache>
                <c:formatCode>General</c:formatCode>
                <c:ptCount val="3"/>
                <c:pt idx="0">
                  <c:v>16</c:v>
                </c:pt>
                <c:pt idx="1">
                  <c:v>18</c:v>
                </c:pt>
                <c:pt idx="2">
                  <c:v>16</c:v>
                </c:pt>
              </c:numCache>
            </c:numRef>
          </c:val>
        </c:ser>
        <c:ser>
          <c:idx val="2"/>
          <c:order val="2"/>
          <c:tx>
            <c:strRef>
              <c:f>Total!$D$1</c:f>
              <c:strCache>
                <c:ptCount val="1"/>
                <c:pt idx="0">
                  <c:v>Good</c:v>
                </c:pt>
              </c:strCache>
            </c:strRef>
          </c:tx>
          <c:cat>
            <c:strRef>
              <c:f>Total!$A$2:$A$4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Total!$D$2:$D$4</c:f>
              <c:numCache>
                <c:formatCode>General</c:formatCode>
                <c:ptCount val="3"/>
                <c:pt idx="0">
                  <c:v>41</c:v>
                </c:pt>
                <c:pt idx="1">
                  <c:v>38</c:v>
                </c:pt>
                <c:pt idx="2">
                  <c:v>37</c:v>
                </c:pt>
              </c:numCache>
            </c:numRef>
          </c:val>
        </c:ser>
        <c:ser>
          <c:idx val="3"/>
          <c:order val="3"/>
          <c:tx>
            <c:strRef>
              <c:f>Total!$E$1</c:f>
              <c:strCache>
                <c:ptCount val="1"/>
                <c:pt idx="0">
                  <c:v>Excellent</c:v>
                </c:pt>
              </c:strCache>
            </c:strRef>
          </c:tx>
          <c:cat>
            <c:strRef>
              <c:f>Total!$A$2:$A$4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Total!$E$2:$E$4</c:f>
              <c:numCache>
                <c:formatCode>General</c:formatCode>
                <c:ptCount val="3"/>
                <c:pt idx="0">
                  <c:v>14</c:v>
                </c:pt>
                <c:pt idx="1">
                  <c:v>15</c:v>
                </c:pt>
                <c:pt idx="2">
                  <c:v>17</c:v>
                </c:pt>
              </c:numCache>
            </c:numRef>
          </c:val>
        </c:ser>
        <c:axId val="110033536"/>
        <c:axId val="113316224"/>
      </c:barChart>
      <c:catAx>
        <c:axId val="110033536"/>
        <c:scaling>
          <c:orientation val="minMax"/>
        </c:scaling>
        <c:axPos val="b"/>
        <c:majorTickMark val="none"/>
        <c:tickLblPos val="nextTo"/>
        <c:crossAx val="113316224"/>
        <c:crosses val="autoZero"/>
        <c:auto val="1"/>
        <c:lblAlgn val="ctr"/>
        <c:lblOffset val="100"/>
      </c:catAx>
      <c:valAx>
        <c:axId val="11331622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Responses</a:t>
                </a:r>
                <a:r>
                  <a:rPr lang="en-GB" baseline="0"/>
                  <a:t> by rating</a:t>
                </a:r>
                <a:endParaRPr lang="en-GB"/>
              </a:p>
            </c:rich>
          </c:tx>
        </c:title>
        <c:numFmt formatCode="General" sourceLinked="1"/>
        <c:majorTickMark val="none"/>
        <c:tickLblPos val="nextTo"/>
        <c:crossAx val="1100335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GB" sz="1400"/>
              <a:t>School</a:t>
            </a:r>
            <a:r>
              <a:rPr lang="en-GB" sz="1400" baseline="0"/>
              <a:t> Children's Centre</a:t>
            </a:r>
            <a:r>
              <a:rPr lang="en-GB" sz="1400"/>
              <a:t> Evaluation</a:t>
            </a:r>
          </a:p>
        </c:rich>
      </c:tx>
      <c:layout>
        <c:manualLayout>
          <c:xMode val="edge"/>
          <c:yMode val="edge"/>
          <c:x val="0.18868549936412604"/>
          <c:y val="2.281988590057052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Barnet!$B$17</c:f>
              <c:strCache>
                <c:ptCount val="1"/>
                <c:pt idx="0">
                  <c:v>Poor</c:v>
                </c:pt>
              </c:strCache>
            </c:strRef>
          </c:tx>
          <c:cat>
            <c:strRef>
              <c:f>Barnet!$A$18:$A$20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Barnet!$B$18:$B$20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Barnet!$C$17</c:f>
              <c:strCache>
                <c:ptCount val="1"/>
                <c:pt idx="0">
                  <c:v>Fair</c:v>
                </c:pt>
              </c:strCache>
            </c:strRef>
          </c:tx>
          <c:cat>
            <c:strRef>
              <c:f>Barnet!$A$18:$A$20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Barnet!$C$18:$C$20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Barnet!$D$17</c:f>
              <c:strCache>
                <c:ptCount val="1"/>
                <c:pt idx="0">
                  <c:v>Good</c:v>
                </c:pt>
              </c:strCache>
            </c:strRef>
          </c:tx>
          <c:cat>
            <c:strRef>
              <c:f>Barnet!$A$18:$A$20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Barnet!$D$18:$D$20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Barnet!$E$17</c:f>
              <c:strCache>
                <c:ptCount val="1"/>
                <c:pt idx="0">
                  <c:v>Excellent</c:v>
                </c:pt>
              </c:strCache>
            </c:strRef>
          </c:tx>
          <c:cat>
            <c:strRef>
              <c:f>Barnet!$A$18:$A$20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Barnet!$E$18:$E$20</c:f>
              <c:numCache>
                <c:formatCode>General</c:formatCode>
                <c:ptCount val="3"/>
              </c:numCache>
            </c:numRef>
          </c:val>
        </c:ser>
        <c:axId val="116453376"/>
        <c:axId val="116454912"/>
      </c:barChart>
      <c:catAx>
        <c:axId val="116453376"/>
        <c:scaling>
          <c:orientation val="minMax"/>
        </c:scaling>
        <c:axPos val="b"/>
        <c:majorTickMark val="none"/>
        <c:tickLblPos val="nextTo"/>
        <c:crossAx val="116454912"/>
        <c:crosses val="autoZero"/>
        <c:auto val="1"/>
        <c:lblAlgn val="ctr"/>
        <c:lblOffset val="100"/>
      </c:catAx>
      <c:valAx>
        <c:axId val="11645491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Responses by rating</a:t>
                </a:r>
              </a:p>
            </c:rich>
          </c:tx>
        </c:title>
        <c:numFmt formatCode="General" sourceLinked="1"/>
        <c:majorTickMark val="none"/>
        <c:tickLblPos val="nextTo"/>
        <c:crossAx val="1164533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GB"/>
              <a:t>Overall</a:t>
            </a:r>
            <a:r>
              <a:rPr lang="en-GB" baseline="0"/>
              <a:t> VCS Evaluation</a:t>
            </a:r>
            <a:endParaRPr lang="en-GB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Total!$H$1</c:f>
              <c:strCache>
                <c:ptCount val="1"/>
                <c:pt idx="0">
                  <c:v>Poor</c:v>
                </c:pt>
              </c:strCache>
            </c:strRef>
          </c:tx>
          <c:cat>
            <c:strRef>
              <c:f>Total!$G$2:$G$4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Total!$H$2:$H$4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Total!$I$1</c:f>
              <c:strCache>
                <c:ptCount val="1"/>
                <c:pt idx="0">
                  <c:v>Fair</c:v>
                </c:pt>
              </c:strCache>
            </c:strRef>
          </c:tx>
          <c:cat>
            <c:strRef>
              <c:f>Total!$G$2:$G$4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Total!$I$2:$I$4</c:f>
              <c:numCache>
                <c:formatCode>General</c:formatCode>
                <c:ptCount val="3"/>
                <c:pt idx="0">
                  <c:v>12</c:v>
                </c:pt>
                <c:pt idx="1">
                  <c:v>21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Total!$J$1</c:f>
              <c:strCache>
                <c:ptCount val="1"/>
                <c:pt idx="0">
                  <c:v>Good</c:v>
                </c:pt>
              </c:strCache>
            </c:strRef>
          </c:tx>
          <c:cat>
            <c:strRef>
              <c:f>Total!$G$2:$G$4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Total!$J$2:$J$4</c:f>
              <c:numCache>
                <c:formatCode>General</c:formatCode>
                <c:ptCount val="3"/>
                <c:pt idx="0">
                  <c:v>66</c:v>
                </c:pt>
                <c:pt idx="1">
                  <c:v>63</c:v>
                </c:pt>
                <c:pt idx="2">
                  <c:v>66</c:v>
                </c:pt>
              </c:numCache>
            </c:numRef>
          </c:val>
        </c:ser>
        <c:ser>
          <c:idx val="3"/>
          <c:order val="3"/>
          <c:tx>
            <c:strRef>
              <c:f>Total!$K$1</c:f>
              <c:strCache>
                <c:ptCount val="1"/>
                <c:pt idx="0">
                  <c:v>Excellent</c:v>
                </c:pt>
              </c:strCache>
            </c:strRef>
          </c:tx>
          <c:cat>
            <c:strRef>
              <c:f>Total!$G$2:$G$4</c:f>
              <c:strCache>
                <c:ptCount val="3"/>
                <c:pt idx="0">
                  <c:v>Session Organisation</c:v>
                </c:pt>
                <c:pt idx="1">
                  <c:v>Information provided</c:v>
                </c:pt>
                <c:pt idx="2">
                  <c:v>Facilitation</c:v>
                </c:pt>
              </c:strCache>
            </c:strRef>
          </c:cat>
          <c:val>
            <c:numRef>
              <c:f>Total!$K$2:$K$4</c:f>
              <c:numCache>
                <c:formatCode>General</c:formatCode>
                <c:ptCount val="3"/>
                <c:pt idx="0">
                  <c:v>23</c:v>
                </c:pt>
                <c:pt idx="1">
                  <c:v>17</c:v>
                </c:pt>
                <c:pt idx="2">
                  <c:v>24</c:v>
                </c:pt>
              </c:numCache>
            </c:numRef>
          </c:val>
        </c:ser>
        <c:axId val="156411008"/>
        <c:axId val="156412544"/>
      </c:barChart>
      <c:catAx>
        <c:axId val="156411008"/>
        <c:scaling>
          <c:orientation val="minMax"/>
        </c:scaling>
        <c:axPos val="b"/>
        <c:majorTickMark val="none"/>
        <c:tickLblPos val="nextTo"/>
        <c:crossAx val="156412544"/>
        <c:crosses val="autoZero"/>
        <c:auto val="1"/>
        <c:lblAlgn val="ctr"/>
        <c:lblOffset val="100"/>
      </c:catAx>
      <c:valAx>
        <c:axId val="1564125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Reponses by rating</a:t>
                </a:r>
              </a:p>
            </c:rich>
          </c:tx>
        </c:title>
        <c:numFmt formatCode="General" sourceLinked="1"/>
        <c:majorTickMark val="none"/>
        <c:tickLblPos val="nextTo"/>
        <c:crossAx val="1564110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Alwyine-Mosely</dc:creator>
  <cp:lastModifiedBy>John Alwyine-Mosely</cp:lastModifiedBy>
  <cp:revision>3</cp:revision>
  <dcterms:created xsi:type="dcterms:W3CDTF">2013-03-19T12:04:00Z</dcterms:created>
  <dcterms:modified xsi:type="dcterms:W3CDTF">2013-03-19T12:04:00Z</dcterms:modified>
</cp:coreProperties>
</file>