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B8" w:rsidRPr="00375AA9" w:rsidRDefault="00565BB8" w:rsidP="00565BB8">
      <w:pPr>
        <w:spacing w:after="120"/>
        <w:ind w:left="720"/>
        <w:jc w:val="right"/>
        <w:textAlignment w:val="baseline"/>
        <w:outlineLvl w:val="1"/>
        <w:rPr>
          <w:rFonts w:asciiTheme="minorHAnsi" w:eastAsia="Times New Roman" w:hAnsiTheme="minorHAnsi" w:cstheme="minorHAnsi"/>
          <w:b/>
          <w:bCs/>
          <w:color w:val="000000" w:themeColor="text1"/>
          <w:sz w:val="96"/>
          <w:szCs w:val="96"/>
          <w:vertAlign w:val="subscript"/>
          <w:lang w:eastAsia="en-GB"/>
        </w:rPr>
      </w:pPr>
      <w:r w:rsidRPr="00375AA9">
        <w:rPr>
          <w:rFonts w:asciiTheme="minorHAnsi" w:eastAsia="Times New Roman" w:hAnsiTheme="minorHAnsi" w:cstheme="minorHAnsi"/>
          <w:b/>
          <w:bCs/>
          <w:color w:val="000000" w:themeColor="text1"/>
          <w:sz w:val="96"/>
          <w:szCs w:val="96"/>
          <w:vertAlign w:val="subscript"/>
          <w:lang w:eastAsia="en-GB"/>
        </w:rPr>
        <w:t xml:space="preserve">Factsheet </w:t>
      </w:r>
      <w:r w:rsidR="008E4AE0">
        <w:rPr>
          <w:rFonts w:asciiTheme="minorHAnsi" w:eastAsia="Times New Roman" w:hAnsiTheme="minorHAnsi" w:cstheme="minorHAnsi"/>
          <w:b/>
          <w:bCs/>
          <w:color w:val="000000" w:themeColor="text1"/>
          <w:sz w:val="96"/>
          <w:szCs w:val="96"/>
          <w:vertAlign w:val="subscript"/>
          <w:lang w:eastAsia="en-GB"/>
        </w:rPr>
        <w:t>Six</w:t>
      </w:r>
    </w:p>
    <w:p w:rsidR="00565BB8" w:rsidRPr="00375AA9" w:rsidRDefault="00565BB8" w:rsidP="00565BB8">
      <w:pPr>
        <w:spacing w:after="120"/>
        <w:jc w:val="right"/>
        <w:textAlignment w:val="baseline"/>
        <w:outlineLvl w:val="1"/>
        <w:rPr>
          <w:rFonts w:asciiTheme="minorHAnsi" w:eastAsia="Times New Roman" w:hAnsiTheme="minorHAnsi" w:cstheme="minorHAnsi"/>
          <w:b/>
          <w:bCs/>
          <w:color w:val="000000" w:themeColor="text1"/>
          <w:sz w:val="36"/>
          <w:szCs w:val="36"/>
          <w:lang w:eastAsia="en-GB"/>
        </w:rPr>
      </w:pPr>
      <w:r w:rsidRPr="00375AA9">
        <w:rPr>
          <w:rFonts w:asciiTheme="minorHAnsi" w:eastAsia="Times New Roman" w:hAnsiTheme="minorHAnsi" w:cstheme="minorHAnsi"/>
          <w:b/>
          <w:bCs/>
          <w:color w:val="000000" w:themeColor="text1"/>
          <w:sz w:val="36"/>
          <w:szCs w:val="36"/>
          <w:lang w:eastAsia="en-GB"/>
        </w:rPr>
        <w:t>School Led Delivery Models</w:t>
      </w:r>
    </w:p>
    <w:p w:rsidR="00565BB8" w:rsidRDefault="00591932">
      <w:pPr>
        <w:rPr>
          <w:rFonts w:asciiTheme="minorHAnsi" w:hAnsiTheme="minorHAnsi" w:cstheme="minorHAnsi"/>
          <w:b/>
          <w:bCs/>
        </w:rPr>
      </w:pPr>
      <w:r w:rsidRPr="00874BF1">
        <w:rPr>
          <w:rFonts w:asciiTheme="minorHAnsi" w:hAnsiTheme="minorHAnsi" w:cstheme="minorHAnsi"/>
          <w:b/>
          <w:bCs/>
          <w:sz w:val="28"/>
          <w:szCs w:val="28"/>
        </w:rPr>
        <w:t>School Company</w:t>
      </w:r>
      <w:r w:rsidR="00874BF1">
        <w:rPr>
          <w:rFonts w:asciiTheme="minorHAnsi" w:hAnsiTheme="minorHAnsi" w:cstheme="minorHAnsi"/>
          <w:b/>
          <w:bCs/>
          <w:sz w:val="28"/>
          <w:szCs w:val="28"/>
        </w:rPr>
        <w:t xml:space="preserve">: </w:t>
      </w:r>
      <w:r w:rsidRPr="00591932">
        <w:rPr>
          <w:rFonts w:asciiTheme="minorHAnsi" w:hAnsiTheme="minorHAnsi" w:cstheme="minorHAnsi"/>
          <w:b/>
          <w:bCs/>
        </w:rPr>
        <w:t>Burnley Campus Social Enterprise Ltd</w:t>
      </w:r>
    </w:p>
    <w:p w:rsidR="00464DA3" w:rsidRPr="00464DA3" w:rsidRDefault="00464DA3">
      <w:pPr>
        <w:rPr>
          <w:rFonts w:asciiTheme="minorHAnsi" w:hAnsiTheme="minorHAnsi" w:cstheme="minorHAnsi"/>
          <w:b/>
          <w:bCs/>
          <w:sz w:val="16"/>
          <w:szCs w:val="16"/>
        </w:rPr>
      </w:pPr>
    </w:p>
    <w:p w:rsidR="00591932" w:rsidRDefault="00464DA3">
      <w:pPr>
        <w:rPr>
          <w:rFonts w:asciiTheme="minorHAnsi" w:hAnsiTheme="minorHAnsi" w:cstheme="minorHAnsi"/>
          <w:b/>
          <w:bCs/>
        </w:rPr>
      </w:pPr>
      <w:r>
        <w:rPr>
          <w:rFonts w:asciiTheme="minorHAnsi" w:hAnsiTheme="minorHAnsi" w:cstheme="minorHAnsi"/>
          <w:b/>
          <w:bCs/>
        </w:rPr>
        <w:object w:dxaOrig="9252" w:dyaOrig="6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21.75pt" o:ole="">
            <v:imagedata r:id="rId5" o:title=""/>
          </v:shape>
          <o:OLEObject Type="Embed" ProgID="Word.Document.12" ShapeID="_x0000_i1025" DrawAspect="Content" ObjectID="_1382113445" r:id="rId6">
            <o:FieldCodes>\s</o:FieldCodes>
          </o:OLEObject>
        </w:object>
      </w:r>
    </w:p>
    <w:p w:rsidR="001F57FE" w:rsidRPr="00375AA9" w:rsidRDefault="0070400C">
      <w:pPr>
        <w:rPr>
          <w:rFonts w:asciiTheme="minorHAnsi" w:hAnsiTheme="minorHAnsi" w:cstheme="minorHAnsi"/>
          <w:b/>
          <w:bCs/>
        </w:rPr>
      </w:pPr>
      <w:r w:rsidRPr="00375AA9">
        <w:rPr>
          <w:rFonts w:asciiTheme="minorHAnsi" w:hAnsiTheme="minorHAnsi" w:cstheme="minorHAnsi"/>
          <w:b/>
          <w:bCs/>
        </w:rPr>
        <w:t>Background</w:t>
      </w:r>
    </w:p>
    <w:p w:rsidR="001F57FE" w:rsidRPr="00375AA9" w:rsidRDefault="0070400C">
      <w:pPr>
        <w:rPr>
          <w:rFonts w:asciiTheme="minorHAnsi" w:hAnsiTheme="minorHAnsi" w:cstheme="minorHAnsi"/>
        </w:rPr>
      </w:pPr>
      <w:r w:rsidRPr="00375AA9">
        <w:rPr>
          <w:rFonts w:asciiTheme="minorHAnsi" w:hAnsiTheme="minorHAnsi" w:cstheme="minorHAnsi"/>
        </w:rPr>
        <w:t>The Burnley Campus houses a nu</w:t>
      </w:r>
      <w:r w:rsidR="0018100A" w:rsidRPr="00375AA9">
        <w:rPr>
          <w:rFonts w:asciiTheme="minorHAnsi" w:hAnsiTheme="minorHAnsi" w:cstheme="minorHAnsi"/>
        </w:rPr>
        <w:t>rsery school, children’s centre,</w:t>
      </w:r>
      <w:r w:rsidRPr="00375AA9">
        <w:rPr>
          <w:rFonts w:asciiTheme="minorHAnsi" w:hAnsiTheme="minorHAnsi" w:cstheme="minorHAnsi"/>
        </w:rPr>
        <w:t xml:space="preserve"> primary and secondary school, a fa</w:t>
      </w:r>
      <w:r w:rsidR="0018100A" w:rsidRPr="00375AA9">
        <w:rPr>
          <w:rFonts w:asciiTheme="minorHAnsi" w:hAnsiTheme="minorHAnsi" w:cstheme="minorHAnsi"/>
        </w:rPr>
        <w:t>ith centre and library. They have</w:t>
      </w:r>
      <w:r w:rsidRPr="00375AA9">
        <w:rPr>
          <w:rFonts w:asciiTheme="minorHAnsi" w:hAnsiTheme="minorHAnsi" w:cstheme="minorHAnsi"/>
        </w:rPr>
        <w:t xml:space="preserve"> been in working with each other for several years prior to the rebuild in 2008. It serves one of the most deprived areas in England and is culturally and religiously divers</w:t>
      </w:r>
      <w:r w:rsidR="00265DC5" w:rsidRPr="00375AA9">
        <w:rPr>
          <w:rFonts w:asciiTheme="minorHAnsi" w:hAnsiTheme="minorHAnsi" w:cstheme="minorHAnsi"/>
        </w:rPr>
        <w:t>e</w:t>
      </w:r>
      <w:r w:rsidRPr="00375AA9">
        <w:rPr>
          <w:rFonts w:asciiTheme="minorHAnsi" w:hAnsiTheme="minorHAnsi" w:cstheme="minorHAnsi"/>
        </w:rPr>
        <w:t xml:space="preserve"> with a high perce</w:t>
      </w:r>
      <w:r w:rsidR="0018100A" w:rsidRPr="00375AA9">
        <w:rPr>
          <w:rFonts w:asciiTheme="minorHAnsi" w:hAnsiTheme="minorHAnsi" w:cstheme="minorHAnsi"/>
        </w:rPr>
        <w:t xml:space="preserve">ntage of its population Asian.  </w:t>
      </w:r>
      <w:r w:rsidRPr="00375AA9">
        <w:rPr>
          <w:rFonts w:asciiTheme="minorHAnsi" w:hAnsiTheme="minorHAnsi" w:cstheme="minorHAnsi"/>
        </w:rPr>
        <w:t xml:space="preserve">The range of </w:t>
      </w:r>
      <w:r w:rsidR="00565BB8" w:rsidRPr="00375AA9">
        <w:rPr>
          <w:rFonts w:asciiTheme="minorHAnsi" w:hAnsiTheme="minorHAnsi" w:cstheme="minorHAnsi"/>
        </w:rPr>
        <w:t>activities available</w:t>
      </w:r>
      <w:r w:rsidRPr="00375AA9">
        <w:rPr>
          <w:rFonts w:asciiTheme="minorHAnsi" w:hAnsiTheme="minorHAnsi" w:cstheme="minorHAnsi"/>
        </w:rPr>
        <w:t xml:space="preserve"> include breakfast and after-school clubs, holiday clubs, sports activities, </w:t>
      </w:r>
      <w:r w:rsidR="00565BB8" w:rsidRPr="00375AA9">
        <w:rPr>
          <w:rFonts w:asciiTheme="minorHAnsi" w:hAnsiTheme="minorHAnsi" w:cstheme="minorHAnsi"/>
        </w:rPr>
        <w:t>family support</w:t>
      </w:r>
      <w:r w:rsidRPr="00375AA9">
        <w:rPr>
          <w:rFonts w:asciiTheme="minorHAnsi" w:hAnsiTheme="minorHAnsi" w:cstheme="minorHAnsi"/>
        </w:rPr>
        <w:t xml:space="preserve"> lessons, ESOL classes, fitness training, healthy eating groups, stop smoking support and more. Many of these activities are delivered within the Burnley Campus, although some referrals are made to services provided by other agencies such as the NHS and the local police team.</w:t>
      </w:r>
    </w:p>
    <w:p w:rsidR="001F57FE" w:rsidRPr="002B7BC1" w:rsidRDefault="001F57FE">
      <w:pPr>
        <w:rPr>
          <w:rFonts w:asciiTheme="minorHAnsi" w:hAnsiTheme="minorHAnsi" w:cstheme="minorHAnsi"/>
          <w:sz w:val="16"/>
          <w:szCs w:val="16"/>
        </w:rPr>
      </w:pPr>
    </w:p>
    <w:p w:rsidR="001F57FE" w:rsidRPr="00375AA9" w:rsidRDefault="0070400C">
      <w:pPr>
        <w:rPr>
          <w:rFonts w:asciiTheme="minorHAnsi" w:hAnsiTheme="minorHAnsi" w:cstheme="minorHAnsi"/>
          <w:b/>
          <w:bCs/>
        </w:rPr>
      </w:pPr>
      <w:r w:rsidRPr="00375AA9">
        <w:rPr>
          <w:rFonts w:asciiTheme="minorHAnsi" w:hAnsiTheme="minorHAnsi" w:cstheme="minorHAnsi"/>
          <w:b/>
          <w:bCs/>
        </w:rPr>
        <w:t xml:space="preserve">Governance </w:t>
      </w:r>
    </w:p>
    <w:p w:rsidR="0018100A" w:rsidRPr="00375AA9" w:rsidRDefault="0070400C" w:rsidP="0018100A">
      <w:pPr>
        <w:rPr>
          <w:rFonts w:asciiTheme="minorHAnsi" w:hAnsiTheme="minorHAnsi" w:cstheme="minorHAnsi"/>
        </w:rPr>
      </w:pPr>
      <w:r w:rsidRPr="00375AA9">
        <w:rPr>
          <w:rFonts w:asciiTheme="minorHAnsi" w:hAnsiTheme="minorHAnsi" w:cstheme="minorHAnsi"/>
        </w:rPr>
        <w:t>A company limited by guarantee responsible for setting the vision and ensuring its fulfilment, monitoring progress, allocating resources and deciding what activities to run</w:t>
      </w:r>
      <w:r w:rsidR="0018100A" w:rsidRPr="00375AA9">
        <w:rPr>
          <w:rFonts w:asciiTheme="minorHAnsi" w:hAnsiTheme="minorHAnsi" w:cstheme="minorHAnsi"/>
        </w:rPr>
        <w:t>.</w:t>
      </w:r>
      <w:r w:rsidRPr="00375AA9">
        <w:rPr>
          <w:rFonts w:asciiTheme="minorHAnsi" w:hAnsiTheme="minorHAnsi" w:cstheme="minorHAnsi"/>
        </w:rPr>
        <w:t xml:space="preserve"> </w:t>
      </w:r>
      <w:r w:rsidR="0018100A" w:rsidRPr="00375AA9">
        <w:rPr>
          <w:rFonts w:asciiTheme="minorHAnsi" w:hAnsiTheme="minorHAnsi" w:cstheme="minorHAnsi"/>
        </w:rPr>
        <w:t xml:space="preserve">The campus is managed by Burnley Campus Management Group (BCMG), consisting of the head teacher and a nominated officer from each of the establishments in Burnley Campus. Each partner is a director of the company. It employs 23 staff including a service manager </w:t>
      </w:r>
    </w:p>
    <w:p w:rsidR="00375AA9" w:rsidRPr="002B7BC1" w:rsidRDefault="00375AA9" w:rsidP="00193F4B">
      <w:pPr>
        <w:rPr>
          <w:rFonts w:asciiTheme="minorHAnsi" w:hAnsiTheme="minorHAnsi" w:cstheme="minorHAnsi"/>
          <w:b/>
          <w:bCs/>
          <w:sz w:val="16"/>
          <w:szCs w:val="16"/>
        </w:rPr>
      </w:pPr>
    </w:p>
    <w:p w:rsidR="00193F4B" w:rsidRPr="00375AA9" w:rsidRDefault="00193F4B" w:rsidP="00193F4B">
      <w:pPr>
        <w:rPr>
          <w:rFonts w:asciiTheme="minorHAnsi" w:hAnsiTheme="minorHAnsi" w:cstheme="minorHAnsi"/>
          <w:b/>
          <w:bCs/>
        </w:rPr>
      </w:pPr>
      <w:r w:rsidRPr="00375AA9">
        <w:rPr>
          <w:rFonts w:asciiTheme="minorHAnsi" w:hAnsiTheme="minorHAnsi" w:cstheme="minorHAnsi"/>
          <w:b/>
          <w:bCs/>
        </w:rPr>
        <w:t>Accountability</w:t>
      </w:r>
    </w:p>
    <w:p w:rsidR="00193F4B" w:rsidRPr="00375AA9" w:rsidRDefault="00193F4B" w:rsidP="00193F4B">
      <w:pPr>
        <w:numPr>
          <w:ilvl w:val="0"/>
          <w:numId w:val="3"/>
        </w:numPr>
        <w:rPr>
          <w:rFonts w:asciiTheme="minorHAnsi" w:hAnsiTheme="minorHAnsi" w:cstheme="minorHAnsi"/>
        </w:rPr>
      </w:pPr>
      <w:r w:rsidRPr="00375AA9">
        <w:rPr>
          <w:rFonts w:asciiTheme="minorHAnsi" w:hAnsiTheme="minorHAnsi" w:cstheme="minorHAnsi"/>
        </w:rPr>
        <w:t>C</w:t>
      </w:r>
      <w:r w:rsidR="0070400C" w:rsidRPr="00375AA9">
        <w:rPr>
          <w:rFonts w:asciiTheme="minorHAnsi" w:hAnsiTheme="minorHAnsi" w:cstheme="minorHAnsi"/>
        </w:rPr>
        <w:t>learly defined outcomes</w:t>
      </w:r>
      <w:r w:rsidRPr="00375AA9">
        <w:rPr>
          <w:rFonts w:asciiTheme="minorHAnsi" w:hAnsiTheme="minorHAnsi" w:cstheme="minorHAnsi"/>
        </w:rPr>
        <w:t xml:space="preserve"> based on known needs of the community to tackle health deprivation, promote healthy lifestyles, and enhance community cohesion.</w:t>
      </w:r>
    </w:p>
    <w:p w:rsidR="00193F4B" w:rsidRPr="00375AA9" w:rsidRDefault="00193F4B" w:rsidP="00193F4B">
      <w:pPr>
        <w:numPr>
          <w:ilvl w:val="0"/>
          <w:numId w:val="3"/>
        </w:numPr>
        <w:rPr>
          <w:rFonts w:asciiTheme="minorHAnsi" w:hAnsiTheme="minorHAnsi" w:cstheme="minorHAnsi"/>
        </w:rPr>
      </w:pPr>
      <w:r w:rsidRPr="00375AA9">
        <w:rPr>
          <w:rFonts w:asciiTheme="minorHAnsi" w:hAnsiTheme="minorHAnsi" w:cstheme="minorHAnsi"/>
        </w:rPr>
        <w:t>R</w:t>
      </w:r>
      <w:r w:rsidR="0070400C" w:rsidRPr="00375AA9">
        <w:rPr>
          <w:rFonts w:asciiTheme="minorHAnsi" w:hAnsiTheme="minorHAnsi" w:cstheme="minorHAnsi"/>
        </w:rPr>
        <w:t>obust and transparent mechanisms for information about performance and financial management</w:t>
      </w:r>
      <w:r w:rsidRPr="00375AA9">
        <w:rPr>
          <w:rFonts w:asciiTheme="minorHAnsi" w:hAnsiTheme="minorHAnsi" w:cstheme="minorHAnsi"/>
        </w:rPr>
        <w:t xml:space="preserve"> based around the company’s business plan</w:t>
      </w:r>
      <w:r w:rsidR="00A04DE7" w:rsidRPr="00375AA9">
        <w:rPr>
          <w:rFonts w:asciiTheme="minorHAnsi" w:hAnsiTheme="minorHAnsi" w:cstheme="minorHAnsi"/>
        </w:rPr>
        <w:t>.</w:t>
      </w:r>
    </w:p>
    <w:p w:rsidR="00193F4B" w:rsidRPr="00375AA9" w:rsidRDefault="00193F4B" w:rsidP="00193F4B">
      <w:pPr>
        <w:numPr>
          <w:ilvl w:val="0"/>
          <w:numId w:val="3"/>
        </w:numPr>
        <w:rPr>
          <w:rFonts w:asciiTheme="minorHAnsi" w:hAnsiTheme="minorHAnsi" w:cstheme="minorHAnsi"/>
        </w:rPr>
      </w:pPr>
      <w:r w:rsidRPr="00375AA9">
        <w:rPr>
          <w:rFonts w:asciiTheme="minorHAnsi" w:hAnsiTheme="minorHAnsi" w:cstheme="minorHAnsi"/>
        </w:rPr>
        <w:lastRenderedPageBreak/>
        <w:t xml:space="preserve">The service manager acts as </w:t>
      </w:r>
      <w:r w:rsidR="0070400C" w:rsidRPr="00375AA9">
        <w:rPr>
          <w:rFonts w:asciiTheme="minorHAnsi" w:hAnsiTheme="minorHAnsi" w:cstheme="minorHAnsi"/>
        </w:rPr>
        <w:t xml:space="preserve">a single lead for any programme with clear reporting lines </w:t>
      </w:r>
      <w:r w:rsidRPr="00375AA9">
        <w:rPr>
          <w:rFonts w:asciiTheme="minorHAnsi" w:hAnsiTheme="minorHAnsi" w:cstheme="minorHAnsi"/>
        </w:rPr>
        <w:t>back to the board</w:t>
      </w:r>
      <w:r w:rsidR="00A04DE7" w:rsidRPr="00375AA9">
        <w:rPr>
          <w:rFonts w:asciiTheme="minorHAnsi" w:hAnsiTheme="minorHAnsi" w:cstheme="minorHAnsi"/>
        </w:rPr>
        <w:t>.</w:t>
      </w:r>
    </w:p>
    <w:p w:rsidR="001F57FE" w:rsidRPr="00375AA9" w:rsidRDefault="00193F4B" w:rsidP="00193F4B">
      <w:pPr>
        <w:numPr>
          <w:ilvl w:val="0"/>
          <w:numId w:val="3"/>
        </w:numPr>
        <w:rPr>
          <w:rFonts w:asciiTheme="minorHAnsi" w:hAnsiTheme="minorHAnsi" w:cstheme="minorHAnsi"/>
        </w:rPr>
      </w:pPr>
      <w:r w:rsidRPr="00375AA9">
        <w:rPr>
          <w:rFonts w:asciiTheme="minorHAnsi" w:hAnsiTheme="minorHAnsi" w:cstheme="minorHAnsi"/>
        </w:rPr>
        <w:t>G</w:t>
      </w:r>
      <w:r w:rsidR="0070400C" w:rsidRPr="00375AA9">
        <w:rPr>
          <w:rFonts w:asciiTheme="minorHAnsi" w:hAnsiTheme="minorHAnsi" w:cstheme="minorHAnsi"/>
        </w:rPr>
        <w:t>overnance arrangements</w:t>
      </w:r>
      <w:r w:rsidRPr="00375AA9">
        <w:rPr>
          <w:rFonts w:asciiTheme="minorHAnsi" w:hAnsiTheme="minorHAnsi" w:cstheme="minorHAnsi"/>
        </w:rPr>
        <w:t xml:space="preserve"> based on a clear well proven company model</w:t>
      </w:r>
      <w:r w:rsidR="00A04DE7" w:rsidRPr="00375AA9">
        <w:rPr>
          <w:rFonts w:asciiTheme="minorHAnsi" w:hAnsiTheme="minorHAnsi" w:cstheme="minorHAnsi"/>
        </w:rPr>
        <w:t>.</w:t>
      </w:r>
    </w:p>
    <w:p w:rsidR="00A04DE7" w:rsidRPr="00375AA9" w:rsidRDefault="00193F4B" w:rsidP="00193F4B">
      <w:pPr>
        <w:numPr>
          <w:ilvl w:val="0"/>
          <w:numId w:val="3"/>
        </w:numPr>
        <w:rPr>
          <w:rFonts w:asciiTheme="minorHAnsi" w:hAnsiTheme="minorHAnsi" w:cstheme="minorHAnsi"/>
        </w:rPr>
      </w:pPr>
      <w:r w:rsidRPr="00375AA9">
        <w:rPr>
          <w:rFonts w:asciiTheme="minorHAnsi" w:hAnsiTheme="minorHAnsi" w:cstheme="minorHAnsi"/>
        </w:rPr>
        <w:t>A</w:t>
      </w:r>
      <w:r w:rsidR="0070400C" w:rsidRPr="00375AA9">
        <w:rPr>
          <w:rFonts w:asciiTheme="minorHAnsi" w:hAnsiTheme="minorHAnsi" w:cstheme="minorHAnsi"/>
        </w:rPr>
        <w:t xml:space="preserve"> clear system for dealing promptly with failure</w:t>
      </w:r>
      <w:r w:rsidR="00A04DE7" w:rsidRPr="00375AA9">
        <w:rPr>
          <w:rFonts w:asciiTheme="minorHAnsi" w:hAnsiTheme="minorHAnsi" w:cstheme="minorHAnsi"/>
        </w:rPr>
        <w:t xml:space="preserve"> is assumed given that the activities can be measure in terms of attendance and funds generated. </w:t>
      </w:r>
    </w:p>
    <w:p w:rsidR="001F57FE" w:rsidRPr="00375AA9" w:rsidRDefault="00A04DE7" w:rsidP="00A04DE7">
      <w:pPr>
        <w:numPr>
          <w:ilvl w:val="0"/>
          <w:numId w:val="3"/>
        </w:numPr>
        <w:rPr>
          <w:rFonts w:asciiTheme="minorHAnsi" w:hAnsiTheme="minorHAnsi" w:cstheme="minorHAnsi"/>
        </w:rPr>
      </w:pPr>
      <w:r w:rsidRPr="00375AA9">
        <w:rPr>
          <w:rFonts w:asciiTheme="minorHAnsi" w:hAnsiTheme="minorHAnsi" w:cstheme="minorHAnsi"/>
        </w:rPr>
        <w:t>F</w:t>
      </w:r>
      <w:r w:rsidR="00193F4B" w:rsidRPr="00375AA9">
        <w:rPr>
          <w:rFonts w:asciiTheme="minorHAnsi" w:hAnsiTheme="minorHAnsi" w:cstheme="minorHAnsi"/>
        </w:rPr>
        <w:t>unding allocation process</w:t>
      </w:r>
      <w:r w:rsidRPr="00375AA9">
        <w:rPr>
          <w:rFonts w:asciiTheme="minorHAnsi" w:hAnsiTheme="minorHAnsi" w:cstheme="minorHAnsi"/>
        </w:rPr>
        <w:t xml:space="preserve"> is explicit and auditable as income generated is linked to local priorities but more information is needed to gauge how these are linked to impact on the outcomes</w:t>
      </w:r>
      <w:r w:rsidR="00375AA9" w:rsidRPr="00375AA9">
        <w:rPr>
          <w:rFonts w:asciiTheme="minorHAnsi" w:hAnsiTheme="minorHAnsi" w:cstheme="minorHAnsi"/>
        </w:rPr>
        <w:t>. It has enabled the schools to understand that the leisure and conference services need to make a profit, which are then able to sustain and create new community services.</w:t>
      </w:r>
    </w:p>
    <w:p w:rsidR="00A04DE7" w:rsidRPr="00375AA9" w:rsidRDefault="00A04DE7" w:rsidP="00A04DE7">
      <w:pPr>
        <w:ind w:left="360"/>
        <w:rPr>
          <w:rFonts w:asciiTheme="minorHAnsi" w:hAnsiTheme="minorHAnsi" w:cstheme="minorHAnsi"/>
        </w:rPr>
      </w:pPr>
    </w:p>
    <w:p w:rsidR="0018100A" w:rsidRPr="00375AA9" w:rsidRDefault="0018100A" w:rsidP="0018100A">
      <w:pPr>
        <w:rPr>
          <w:rFonts w:asciiTheme="minorHAnsi" w:eastAsia="Times New Roman" w:hAnsiTheme="minorHAnsi" w:cstheme="minorHAnsi"/>
          <w:b/>
          <w:color w:val="000000" w:themeColor="text1"/>
          <w:lang w:eastAsia="en-GB"/>
        </w:rPr>
      </w:pPr>
      <w:r w:rsidRPr="00375AA9">
        <w:rPr>
          <w:rFonts w:asciiTheme="minorHAnsi" w:eastAsia="Times New Roman" w:hAnsiTheme="minorHAnsi" w:cstheme="minorHAnsi"/>
          <w:b/>
          <w:bCs/>
          <w:color w:val="000000" w:themeColor="text1"/>
          <w:lang w:eastAsia="en-GB"/>
        </w:rPr>
        <w:t>Local VCS engagement as provider</w:t>
      </w:r>
      <w:r w:rsidRPr="00375AA9">
        <w:rPr>
          <w:rFonts w:asciiTheme="minorHAnsi" w:eastAsia="Times New Roman" w:hAnsiTheme="minorHAnsi" w:cstheme="minorHAnsi"/>
          <w:b/>
          <w:color w:val="000000" w:themeColor="text1"/>
          <w:lang w:eastAsia="en-GB"/>
        </w:rPr>
        <w:t xml:space="preserve"> </w:t>
      </w:r>
    </w:p>
    <w:p w:rsidR="00375AA9" w:rsidRPr="00375AA9" w:rsidRDefault="00375AA9">
      <w:pPr>
        <w:rPr>
          <w:rFonts w:asciiTheme="minorHAnsi" w:hAnsiTheme="minorHAnsi" w:cstheme="minorHAnsi"/>
        </w:rPr>
      </w:pPr>
      <w:r w:rsidRPr="00375AA9">
        <w:rPr>
          <w:rFonts w:asciiTheme="minorHAnsi" w:hAnsiTheme="minorHAnsi" w:cstheme="minorHAnsi"/>
        </w:rPr>
        <w:t>Local VCSs are involved in the site as it</w:t>
      </w:r>
      <w:r w:rsidR="0070400C" w:rsidRPr="00375AA9">
        <w:rPr>
          <w:rFonts w:asciiTheme="minorHAnsi" w:hAnsiTheme="minorHAnsi" w:cstheme="minorHAnsi"/>
        </w:rPr>
        <w:t xml:space="preserve"> </w:t>
      </w:r>
      <w:r w:rsidR="0018100A" w:rsidRPr="00375AA9">
        <w:rPr>
          <w:rFonts w:asciiTheme="minorHAnsi" w:hAnsiTheme="minorHAnsi" w:cstheme="minorHAnsi"/>
        </w:rPr>
        <w:t>has strong</w:t>
      </w:r>
      <w:r w:rsidR="0070400C" w:rsidRPr="00375AA9">
        <w:rPr>
          <w:rFonts w:asciiTheme="minorHAnsi" w:hAnsiTheme="minorHAnsi" w:cstheme="minorHAnsi"/>
        </w:rPr>
        <w:t xml:space="preserve"> link</w:t>
      </w:r>
      <w:r w:rsidR="0018100A" w:rsidRPr="00375AA9">
        <w:rPr>
          <w:rFonts w:asciiTheme="minorHAnsi" w:hAnsiTheme="minorHAnsi" w:cstheme="minorHAnsi"/>
        </w:rPr>
        <w:t>s wi</w:t>
      </w:r>
      <w:r w:rsidRPr="00375AA9">
        <w:rPr>
          <w:rFonts w:asciiTheme="minorHAnsi" w:hAnsiTheme="minorHAnsi" w:cstheme="minorHAnsi"/>
        </w:rPr>
        <w:t xml:space="preserve">th the local communities but it is the main VCS for the area in a range of the services offered. </w:t>
      </w:r>
    </w:p>
    <w:p w:rsidR="00375AA9" w:rsidRPr="00375AA9" w:rsidRDefault="00375AA9">
      <w:pPr>
        <w:rPr>
          <w:rFonts w:asciiTheme="minorHAnsi" w:hAnsiTheme="minorHAnsi" w:cstheme="minorHAnsi"/>
        </w:rPr>
      </w:pPr>
    </w:p>
    <w:p w:rsidR="00591932" w:rsidRPr="00375AA9" w:rsidRDefault="00591932" w:rsidP="00591932">
      <w:pPr>
        <w:rPr>
          <w:rFonts w:asciiTheme="minorHAnsi" w:hAnsiTheme="minorHAnsi" w:cstheme="minorHAnsi"/>
          <w:b/>
          <w:color w:val="000000" w:themeColor="text1"/>
        </w:rPr>
      </w:pPr>
      <w:r w:rsidRPr="00375AA9">
        <w:rPr>
          <w:rFonts w:asciiTheme="minorHAnsi" w:hAnsiTheme="minorHAnsi" w:cstheme="minorHAnsi"/>
          <w:b/>
          <w:color w:val="000000" w:themeColor="text1"/>
        </w:rPr>
        <w:t>Pros</w:t>
      </w:r>
      <w:r w:rsidRPr="00375AA9">
        <w:rPr>
          <w:rFonts w:asciiTheme="minorHAnsi" w:hAnsiTheme="minorHAnsi" w:cstheme="minorHAnsi"/>
          <w:b/>
          <w:color w:val="000000" w:themeColor="text1"/>
        </w:rPr>
        <w:tab/>
      </w:r>
      <w:r w:rsidRPr="00375AA9">
        <w:rPr>
          <w:rFonts w:asciiTheme="minorHAnsi" w:hAnsiTheme="minorHAnsi" w:cstheme="minorHAnsi"/>
          <w:b/>
          <w:color w:val="000000" w:themeColor="text1"/>
        </w:rPr>
        <w:tab/>
      </w:r>
      <w:r w:rsidRPr="00375AA9">
        <w:rPr>
          <w:rFonts w:asciiTheme="minorHAnsi" w:hAnsiTheme="minorHAnsi" w:cstheme="minorHAnsi"/>
          <w:b/>
          <w:color w:val="000000" w:themeColor="text1"/>
        </w:rPr>
        <w:tab/>
      </w:r>
      <w:r w:rsidRPr="00375AA9">
        <w:rPr>
          <w:rFonts w:asciiTheme="minorHAnsi" w:hAnsiTheme="minorHAnsi" w:cstheme="minorHAnsi"/>
          <w:b/>
          <w:color w:val="000000" w:themeColor="text1"/>
        </w:rPr>
        <w:tab/>
      </w:r>
      <w:r w:rsidRPr="00375AA9">
        <w:rPr>
          <w:rFonts w:asciiTheme="minorHAnsi" w:hAnsiTheme="minorHAnsi" w:cstheme="minorHAnsi"/>
          <w:b/>
          <w:color w:val="000000" w:themeColor="text1"/>
        </w:rPr>
        <w:tab/>
        <w:t>Cons</w:t>
      </w:r>
    </w:p>
    <w:p w:rsidR="00591932" w:rsidRPr="00375AA9" w:rsidRDefault="00591932" w:rsidP="00591932">
      <w:pPr>
        <w:rPr>
          <w:rFonts w:asciiTheme="minorHAnsi" w:hAnsiTheme="minorHAnsi" w:cstheme="minorHAnsi"/>
          <w:color w:val="000000" w:themeColor="text1"/>
        </w:rPr>
      </w:pPr>
      <w:r w:rsidRPr="00375AA9">
        <w:rPr>
          <w:rFonts w:asciiTheme="minorHAnsi" w:hAnsiTheme="minorHAnsi" w:cstheme="minorHAnsi"/>
          <w:color w:val="000000" w:themeColor="text1"/>
        </w:rPr>
        <w:t>Clear legal structure</w:t>
      </w:r>
      <w:r w:rsidRPr="00375AA9">
        <w:rPr>
          <w:rFonts w:asciiTheme="minorHAnsi" w:hAnsiTheme="minorHAnsi" w:cstheme="minorHAnsi"/>
          <w:color w:val="000000" w:themeColor="text1"/>
        </w:rPr>
        <w:tab/>
      </w:r>
      <w:r w:rsidRPr="00375AA9">
        <w:rPr>
          <w:rFonts w:asciiTheme="minorHAnsi" w:hAnsiTheme="minorHAnsi" w:cstheme="minorHAnsi"/>
          <w:color w:val="000000" w:themeColor="text1"/>
        </w:rPr>
        <w:tab/>
      </w:r>
      <w:r w:rsidRPr="00375AA9">
        <w:rPr>
          <w:rFonts w:asciiTheme="minorHAnsi" w:hAnsiTheme="minorHAnsi" w:cstheme="minorHAnsi"/>
          <w:color w:val="000000" w:themeColor="text1"/>
        </w:rPr>
        <w:tab/>
      </w:r>
      <w:r>
        <w:rPr>
          <w:rFonts w:asciiTheme="minorHAnsi" w:hAnsiTheme="minorHAnsi" w:cstheme="minorHAnsi"/>
          <w:color w:val="000000" w:themeColor="text1"/>
        </w:rPr>
        <w:t>Relatively c</w:t>
      </w:r>
      <w:r w:rsidRPr="00375AA9">
        <w:rPr>
          <w:rFonts w:asciiTheme="minorHAnsi" w:hAnsiTheme="minorHAnsi" w:cstheme="minorHAnsi"/>
          <w:color w:val="000000" w:themeColor="text1"/>
        </w:rPr>
        <w:t>omplex to set up</w:t>
      </w:r>
    </w:p>
    <w:p w:rsidR="00591932" w:rsidRPr="00375AA9" w:rsidRDefault="00591932" w:rsidP="00591932">
      <w:pPr>
        <w:rPr>
          <w:rFonts w:asciiTheme="minorHAnsi" w:hAnsiTheme="minorHAnsi" w:cstheme="minorHAnsi"/>
          <w:color w:val="000000" w:themeColor="text1"/>
        </w:rPr>
      </w:pPr>
      <w:r w:rsidRPr="00375AA9">
        <w:rPr>
          <w:rFonts w:asciiTheme="minorHAnsi" w:hAnsiTheme="minorHAnsi" w:cstheme="minorHAnsi"/>
          <w:color w:val="000000" w:themeColor="text1"/>
        </w:rPr>
        <w:t xml:space="preserve">Value driven </w:t>
      </w:r>
      <w:r w:rsidRPr="00375AA9">
        <w:rPr>
          <w:rFonts w:asciiTheme="minorHAnsi" w:hAnsiTheme="minorHAnsi" w:cstheme="minorHAnsi"/>
          <w:color w:val="000000" w:themeColor="text1"/>
        </w:rPr>
        <w:tab/>
      </w:r>
      <w:r w:rsidRPr="00375AA9">
        <w:rPr>
          <w:rFonts w:asciiTheme="minorHAnsi" w:hAnsiTheme="minorHAnsi" w:cstheme="minorHAnsi"/>
          <w:color w:val="000000" w:themeColor="text1"/>
        </w:rPr>
        <w:tab/>
      </w:r>
      <w:r w:rsidRPr="00375AA9">
        <w:rPr>
          <w:rFonts w:asciiTheme="minorHAnsi" w:hAnsiTheme="minorHAnsi" w:cstheme="minorHAnsi"/>
          <w:color w:val="000000" w:themeColor="text1"/>
        </w:rPr>
        <w:tab/>
      </w:r>
      <w:r w:rsidRPr="00375AA9">
        <w:rPr>
          <w:rFonts w:asciiTheme="minorHAnsi" w:hAnsiTheme="minorHAnsi" w:cstheme="minorHAnsi"/>
          <w:color w:val="000000" w:themeColor="text1"/>
        </w:rPr>
        <w:tab/>
        <w:t xml:space="preserve">Working relationships need to </w:t>
      </w:r>
      <w:r>
        <w:rPr>
          <w:rFonts w:asciiTheme="minorHAnsi" w:hAnsiTheme="minorHAnsi" w:cstheme="minorHAnsi"/>
          <w:color w:val="000000" w:themeColor="text1"/>
        </w:rPr>
        <w:t xml:space="preserve">develop </w:t>
      </w:r>
    </w:p>
    <w:p w:rsidR="00591932" w:rsidRDefault="00591932" w:rsidP="00591932">
      <w:pPr>
        <w:rPr>
          <w:rFonts w:asciiTheme="minorHAnsi" w:hAnsiTheme="minorHAnsi" w:cstheme="minorHAnsi"/>
          <w:color w:val="000000" w:themeColor="text1"/>
        </w:rPr>
      </w:pPr>
      <w:r>
        <w:rPr>
          <w:rFonts w:asciiTheme="minorHAnsi" w:hAnsiTheme="minorHAnsi" w:cstheme="minorHAnsi"/>
          <w:color w:val="000000" w:themeColor="text1"/>
        </w:rPr>
        <w:t>Clear children service goals</w:t>
      </w:r>
      <w:r>
        <w:rPr>
          <w:rFonts w:asciiTheme="minorHAnsi" w:hAnsiTheme="minorHAnsi" w:cstheme="minorHAnsi"/>
          <w:color w:val="000000" w:themeColor="text1"/>
        </w:rPr>
        <w:tab/>
      </w:r>
      <w:r>
        <w:rPr>
          <w:rFonts w:asciiTheme="minorHAnsi" w:hAnsiTheme="minorHAnsi" w:cstheme="minorHAnsi"/>
          <w:color w:val="000000" w:themeColor="text1"/>
        </w:rPr>
        <w:tab/>
        <w:t>Sustainability based on ‘commercial funds’</w:t>
      </w:r>
    </w:p>
    <w:p w:rsidR="00591932" w:rsidRDefault="00591932" w:rsidP="00591932">
      <w:pPr>
        <w:rPr>
          <w:rFonts w:asciiTheme="minorHAnsi" w:hAnsiTheme="minorHAnsi" w:cstheme="minorHAnsi"/>
          <w:color w:val="000000" w:themeColor="text1"/>
        </w:rPr>
      </w:pPr>
      <w:r>
        <w:rPr>
          <w:rFonts w:asciiTheme="minorHAnsi" w:hAnsiTheme="minorHAnsi" w:cstheme="minorHAnsi"/>
          <w:color w:val="000000" w:themeColor="text1"/>
        </w:rPr>
        <w:t>Creates sustainable VCS provision</w:t>
      </w:r>
      <w:r>
        <w:rPr>
          <w:rFonts w:asciiTheme="minorHAnsi" w:hAnsiTheme="minorHAnsi" w:cstheme="minorHAnsi"/>
          <w:color w:val="000000" w:themeColor="text1"/>
        </w:rPr>
        <w:tab/>
      </w:r>
      <w:r>
        <w:rPr>
          <w:rFonts w:asciiTheme="minorHAnsi" w:hAnsiTheme="minorHAnsi" w:cstheme="minorHAnsi"/>
          <w:color w:val="000000" w:themeColor="text1"/>
        </w:rPr>
        <w:tab/>
      </w:r>
    </w:p>
    <w:p w:rsidR="00591932" w:rsidRDefault="00591932" w:rsidP="00375AA9">
      <w:pPr>
        <w:rPr>
          <w:rFonts w:asciiTheme="minorHAnsi" w:hAnsiTheme="minorHAnsi" w:cstheme="minorHAnsi"/>
          <w:b/>
          <w:color w:val="000000" w:themeColor="text1"/>
        </w:rPr>
      </w:pPr>
    </w:p>
    <w:p w:rsidR="00375AA9" w:rsidRDefault="00375AA9" w:rsidP="00375AA9">
      <w:pPr>
        <w:rPr>
          <w:rFonts w:asciiTheme="minorHAnsi" w:hAnsiTheme="minorHAnsi" w:cstheme="minorHAnsi"/>
          <w:b/>
          <w:color w:val="000000" w:themeColor="text1"/>
        </w:rPr>
      </w:pPr>
      <w:r w:rsidRPr="00375AA9">
        <w:rPr>
          <w:rFonts w:asciiTheme="minorHAnsi" w:hAnsiTheme="minorHAnsi" w:cstheme="minorHAnsi"/>
          <w:b/>
          <w:color w:val="000000" w:themeColor="text1"/>
        </w:rPr>
        <w:t>For information on the current situation</w:t>
      </w:r>
    </w:p>
    <w:p w:rsidR="0070400C" w:rsidRDefault="00993C27">
      <w:pPr>
        <w:rPr>
          <w:b/>
          <w:bCs/>
        </w:rPr>
      </w:pPr>
      <w:hyperlink r:id="rId7" w:history="1">
        <w:r w:rsidR="002B7BC1">
          <w:rPr>
            <w:rStyle w:val="Hyperlink"/>
          </w:rPr>
          <w:t>http://www.burnleycampus.co.uk/</w:t>
        </w:r>
      </w:hyperlink>
    </w:p>
    <w:sectPr w:rsidR="0070400C" w:rsidSect="00375AA9">
      <w:pgSz w:w="11906" w:h="16838"/>
      <w:pgMar w:top="426"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33DA9"/>
    <w:multiLevelType w:val="hybridMultilevel"/>
    <w:tmpl w:val="54FEF1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ED82644"/>
    <w:multiLevelType w:val="hybridMultilevel"/>
    <w:tmpl w:val="84902538"/>
    <w:lvl w:ilvl="0" w:tplc="3962B42C">
      <w:start w:val="1"/>
      <w:numFmt w:val="bullet"/>
      <w:lvlText w:val="•"/>
      <w:lvlJc w:val="left"/>
      <w:pPr>
        <w:tabs>
          <w:tab w:val="num" w:pos="720"/>
        </w:tabs>
        <w:ind w:left="720" w:hanging="360"/>
      </w:pPr>
      <w:rPr>
        <w:rFonts w:ascii="Arial" w:hAnsi="Arial" w:hint="default"/>
      </w:rPr>
    </w:lvl>
    <w:lvl w:ilvl="1" w:tplc="A05A33A8" w:tentative="1">
      <w:start w:val="1"/>
      <w:numFmt w:val="bullet"/>
      <w:lvlText w:val="•"/>
      <w:lvlJc w:val="left"/>
      <w:pPr>
        <w:tabs>
          <w:tab w:val="num" w:pos="1440"/>
        </w:tabs>
        <w:ind w:left="1440" w:hanging="360"/>
      </w:pPr>
      <w:rPr>
        <w:rFonts w:ascii="Arial" w:hAnsi="Arial" w:hint="default"/>
      </w:rPr>
    </w:lvl>
    <w:lvl w:ilvl="2" w:tplc="2298AA00" w:tentative="1">
      <w:start w:val="1"/>
      <w:numFmt w:val="bullet"/>
      <w:lvlText w:val="•"/>
      <w:lvlJc w:val="left"/>
      <w:pPr>
        <w:tabs>
          <w:tab w:val="num" w:pos="2160"/>
        </w:tabs>
        <w:ind w:left="2160" w:hanging="360"/>
      </w:pPr>
      <w:rPr>
        <w:rFonts w:ascii="Arial" w:hAnsi="Arial" w:hint="default"/>
      </w:rPr>
    </w:lvl>
    <w:lvl w:ilvl="3" w:tplc="3078C8EC" w:tentative="1">
      <w:start w:val="1"/>
      <w:numFmt w:val="bullet"/>
      <w:lvlText w:val="•"/>
      <w:lvlJc w:val="left"/>
      <w:pPr>
        <w:tabs>
          <w:tab w:val="num" w:pos="2880"/>
        </w:tabs>
        <w:ind w:left="2880" w:hanging="360"/>
      </w:pPr>
      <w:rPr>
        <w:rFonts w:ascii="Arial" w:hAnsi="Arial" w:hint="default"/>
      </w:rPr>
    </w:lvl>
    <w:lvl w:ilvl="4" w:tplc="95E88D9E" w:tentative="1">
      <w:start w:val="1"/>
      <w:numFmt w:val="bullet"/>
      <w:lvlText w:val="•"/>
      <w:lvlJc w:val="left"/>
      <w:pPr>
        <w:tabs>
          <w:tab w:val="num" w:pos="3600"/>
        </w:tabs>
        <w:ind w:left="3600" w:hanging="360"/>
      </w:pPr>
      <w:rPr>
        <w:rFonts w:ascii="Arial" w:hAnsi="Arial" w:hint="default"/>
      </w:rPr>
    </w:lvl>
    <w:lvl w:ilvl="5" w:tplc="7FB23F86" w:tentative="1">
      <w:start w:val="1"/>
      <w:numFmt w:val="bullet"/>
      <w:lvlText w:val="•"/>
      <w:lvlJc w:val="left"/>
      <w:pPr>
        <w:tabs>
          <w:tab w:val="num" w:pos="4320"/>
        </w:tabs>
        <w:ind w:left="4320" w:hanging="360"/>
      </w:pPr>
      <w:rPr>
        <w:rFonts w:ascii="Arial" w:hAnsi="Arial" w:hint="default"/>
      </w:rPr>
    </w:lvl>
    <w:lvl w:ilvl="6" w:tplc="48B6BEF6" w:tentative="1">
      <w:start w:val="1"/>
      <w:numFmt w:val="bullet"/>
      <w:lvlText w:val="•"/>
      <w:lvlJc w:val="left"/>
      <w:pPr>
        <w:tabs>
          <w:tab w:val="num" w:pos="5040"/>
        </w:tabs>
        <w:ind w:left="5040" w:hanging="360"/>
      </w:pPr>
      <w:rPr>
        <w:rFonts w:ascii="Arial" w:hAnsi="Arial" w:hint="default"/>
      </w:rPr>
    </w:lvl>
    <w:lvl w:ilvl="7" w:tplc="79C60FC2" w:tentative="1">
      <w:start w:val="1"/>
      <w:numFmt w:val="bullet"/>
      <w:lvlText w:val="•"/>
      <w:lvlJc w:val="left"/>
      <w:pPr>
        <w:tabs>
          <w:tab w:val="num" w:pos="5760"/>
        </w:tabs>
        <w:ind w:left="5760" w:hanging="360"/>
      </w:pPr>
      <w:rPr>
        <w:rFonts w:ascii="Arial" w:hAnsi="Arial" w:hint="default"/>
      </w:rPr>
    </w:lvl>
    <w:lvl w:ilvl="8" w:tplc="E15ADDF6" w:tentative="1">
      <w:start w:val="1"/>
      <w:numFmt w:val="bullet"/>
      <w:lvlText w:val="•"/>
      <w:lvlJc w:val="left"/>
      <w:pPr>
        <w:tabs>
          <w:tab w:val="num" w:pos="6480"/>
        </w:tabs>
        <w:ind w:left="6480" w:hanging="360"/>
      </w:pPr>
      <w:rPr>
        <w:rFonts w:ascii="Arial" w:hAnsi="Arial" w:hint="default"/>
      </w:rPr>
    </w:lvl>
  </w:abstractNum>
  <w:abstractNum w:abstractNumId="2">
    <w:nsid w:val="79613F25"/>
    <w:multiLevelType w:val="hybridMultilevel"/>
    <w:tmpl w:val="4FA039CA"/>
    <w:lvl w:ilvl="0" w:tplc="56124294">
      <w:start w:val="1"/>
      <w:numFmt w:val="bullet"/>
      <w:lvlText w:val="–"/>
      <w:lvlJc w:val="left"/>
      <w:pPr>
        <w:tabs>
          <w:tab w:val="num" w:pos="720"/>
        </w:tabs>
        <w:ind w:left="720" w:hanging="360"/>
      </w:pPr>
      <w:rPr>
        <w:rFonts w:ascii="Arial" w:hAnsi="Arial" w:hint="default"/>
      </w:rPr>
    </w:lvl>
    <w:lvl w:ilvl="1" w:tplc="A858C688">
      <w:start w:val="1"/>
      <w:numFmt w:val="bullet"/>
      <w:lvlText w:val="–"/>
      <w:lvlJc w:val="left"/>
      <w:pPr>
        <w:tabs>
          <w:tab w:val="num" w:pos="1440"/>
        </w:tabs>
        <w:ind w:left="1440" w:hanging="360"/>
      </w:pPr>
      <w:rPr>
        <w:rFonts w:ascii="Arial" w:hAnsi="Arial" w:hint="default"/>
      </w:rPr>
    </w:lvl>
    <w:lvl w:ilvl="2" w:tplc="E24AC37A" w:tentative="1">
      <w:start w:val="1"/>
      <w:numFmt w:val="bullet"/>
      <w:lvlText w:val="–"/>
      <w:lvlJc w:val="left"/>
      <w:pPr>
        <w:tabs>
          <w:tab w:val="num" w:pos="2160"/>
        </w:tabs>
        <w:ind w:left="2160" w:hanging="360"/>
      </w:pPr>
      <w:rPr>
        <w:rFonts w:ascii="Arial" w:hAnsi="Arial" w:hint="default"/>
      </w:rPr>
    </w:lvl>
    <w:lvl w:ilvl="3" w:tplc="9788BAC6" w:tentative="1">
      <w:start w:val="1"/>
      <w:numFmt w:val="bullet"/>
      <w:lvlText w:val="–"/>
      <w:lvlJc w:val="left"/>
      <w:pPr>
        <w:tabs>
          <w:tab w:val="num" w:pos="2880"/>
        </w:tabs>
        <w:ind w:left="2880" w:hanging="360"/>
      </w:pPr>
      <w:rPr>
        <w:rFonts w:ascii="Arial" w:hAnsi="Arial" w:hint="default"/>
      </w:rPr>
    </w:lvl>
    <w:lvl w:ilvl="4" w:tplc="EFE819AE" w:tentative="1">
      <w:start w:val="1"/>
      <w:numFmt w:val="bullet"/>
      <w:lvlText w:val="–"/>
      <w:lvlJc w:val="left"/>
      <w:pPr>
        <w:tabs>
          <w:tab w:val="num" w:pos="3600"/>
        </w:tabs>
        <w:ind w:left="3600" w:hanging="360"/>
      </w:pPr>
      <w:rPr>
        <w:rFonts w:ascii="Arial" w:hAnsi="Arial" w:hint="default"/>
      </w:rPr>
    </w:lvl>
    <w:lvl w:ilvl="5" w:tplc="72A0BD8E" w:tentative="1">
      <w:start w:val="1"/>
      <w:numFmt w:val="bullet"/>
      <w:lvlText w:val="–"/>
      <w:lvlJc w:val="left"/>
      <w:pPr>
        <w:tabs>
          <w:tab w:val="num" w:pos="4320"/>
        </w:tabs>
        <w:ind w:left="4320" w:hanging="360"/>
      </w:pPr>
      <w:rPr>
        <w:rFonts w:ascii="Arial" w:hAnsi="Arial" w:hint="default"/>
      </w:rPr>
    </w:lvl>
    <w:lvl w:ilvl="6" w:tplc="AB6CC1CA" w:tentative="1">
      <w:start w:val="1"/>
      <w:numFmt w:val="bullet"/>
      <w:lvlText w:val="–"/>
      <w:lvlJc w:val="left"/>
      <w:pPr>
        <w:tabs>
          <w:tab w:val="num" w:pos="5040"/>
        </w:tabs>
        <w:ind w:left="5040" w:hanging="360"/>
      </w:pPr>
      <w:rPr>
        <w:rFonts w:ascii="Arial" w:hAnsi="Arial" w:hint="default"/>
      </w:rPr>
    </w:lvl>
    <w:lvl w:ilvl="7" w:tplc="D7626B9E" w:tentative="1">
      <w:start w:val="1"/>
      <w:numFmt w:val="bullet"/>
      <w:lvlText w:val="–"/>
      <w:lvlJc w:val="left"/>
      <w:pPr>
        <w:tabs>
          <w:tab w:val="num" w:pos="5760"/>
        </w:tabs>
        <w:ind w:left="5760" w:hanging="360"/>
      </w:pPr>
      <w:rPr>
        <w:rFonts w:ascii="Arial" w:hAnsi="Arial" w:hint="default"/>
      </w:rPr>
    </w:lvl>
    <w:lvl w:ilvl="8" w:tplc="200CE6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65BB8"/>
    <w:rsid w:val="0018100A"/>
    <w:rsid w:val="00193F4B"/>
    <w:rsid w:val="001F57FE"/>
    <w:rsid w:val="00265DC5"/>
    <w:rsid w:val="002B7BC1"/>
    <w:rsid w:val="00375AA9"/>
    <w:rsid w:val="00464DA3"/>
    <w:rsid w:val="00565BB8"/>
    <w:rsid w:val="00591932"/>
    <w:rsid w:val="00593F19"/>
    <w:rsid w:val="0070400C"/>
    <w:rsid w:val="00874BF1"/>
    <w:rsid w:val="008E4AE0"/>
    <w:rsid w:val="00993C27"/>
    <w:rsid w:val="00A04DE7"/>
    <w:rsid w:val="00DC1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FE"/>
    <w:pPr>
      <w:widowControl w:val="0"/>
      <w:suppressAutoHyphens/>
    </w:pPr>
    <w:rPr>
      <w:rFonts w:ascii="Trebuchet MS" w:eastAsia="SimSun" w:hAnsi="Trebuchet MS"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F57FE"/>
    <w:pPr>
      <w:keepNext/>
      <w:spacing w:before="240" w:after="120"/>
    </w:pPr>
    <w:rPr>
      <w:rFonts w:eastAsia="Microsoft YaHei"/>
      <w:sz w:val="28"/>
      <w:szCs w:val="28"/>
    </w:rPr>
  </w:style>
  <w:style w:type="paragraph" w:styleId="BodyText">
    <w:name w:val="Body Text"/>
    <w:basedOn w:val="Normal"/>
    <w:rsid w:val="001F57FE"/>
    <w:pPr>
      <w:spacing w:after="120"/>
    </w:pPr>
  </w:style>
  <w:style w:type="paragraph" w:styleId="List">
    <w:name w:val="List"/>
    <w:basedOn w:val="BodyText"/>
    <w:rsid w:val="001F57FE"/>
  </w:style>
  <w:style w:type="paragraph" w:styleId="Caption">
    <w:name w:val="caption"/>
    <w:basedOn w:val="Normal"/>
    <w:qFormat/>
    <w:rsid w:val="001F57FE"/>
    <w:pPr>
      <w:suppressLineNumbers/>
      <w:spacing w:before="120" w:after="120"/>
    </w:pPr>
    <w:rPr>
      <w:i/>
      <w:iCs/>
    </w:rPr>
  </w:style>
  <w:style w:type="paragraph" w:customStyle="1" w:styleId="Index">
    <w:name w:val="Index"/>
    <w:basedOn w:val="Normal"/>
    <w:rsid w:val="001F57FE"/>
    <w:pPr>
      <w:suppressLineNumbers/>
    </w:pPr>
  </w:style>
  <w:style w:type="character" w:styleId="Hyperlink">
    <w:name w:val="Hyperlink"/>
    <w:basedOn w:val="DefaultParagraphFont"/>
    <w:uiPriority w:val="99"/>
    <w:unhideWhenUsed/>
    <w:rsid w:val="00375AA9"/>
    <w:rPr>
      <w:color w:val="0000FF"/>
      <w:u w:val="single"/>
    </w:rPr>
  </w:style>
</w:styles>
</file>

<file path=word/webSettings.xml><?xml version="1.0" encoding="utf-8"?>
<w:webSettings xmlns:r="http://schemas.openxmlformats.org/officeDocument/2006/relationships" xmlns:w="http://schemas.openxmlformats.org/wordprocessingml/2006/main">
  <w:divs>
    <w:div w:id="1869876284">
      <w:bodyDiv w:val="1"/>
      <w:marLeft w:val="0"/>
      <w:marRight w:val="0"/>
      <w:marTop w:val="0"/>
      <w:marBottom w:val="0"/>
      <w:divBdr>
        <w:top w:val="none" w:sz="0" w:space="0" w:color="auto"/>
        <w:left w:val="none" w:sz="0" w:space="0" w:color="auto"/>
        <w:bottom w:val="none" w:sz="0" w:space="0" w:color="auto"/>
        <w:right w:val="none" w:sz="0" w:space="0" w:color="auto"/>
      </w:divBdr>
      <w:divsChild>
        <w:div w:id="1546138150">
          <w:marLeft w:val="547"/>
          <w:marRight w:val="0"/>
          <w:marTop w:val="96"/>
          <w:marBottom w:val="0"/>
          <w:divBdr>
            <w:top w:val="none" w:sz="0" w:space="0" w:color="auto"/>
            <w:left w:val="none" w:sz="0" w:space="0" w:color="auto"/>
            <w:bottom w:val="none" w:sz="0" w:space="0" w:color="auto"/>
            <w:right w:val="none" w:sz="0" w:space="0" w:color="auto"/>
          </w:divBdr>
        </w:div>
      </w:divsChild>
    </w:div>
    <w:div w:id="2074693103">
      <w:bodyDiv w:val="1"/>
      <w:marLeft w:val="0"/>
      <w:marRight w:val="0"/>
      <w:marTop w:val="0"/>
      <w:marBottom w:val="0"/>
      <w:divBdr>
        <w:top w:val="none" w:sz="0" w:space="0" w:color="auto"/>
        <w:left w:val="none" w:sz="0" w:space="0" w:color="auto"/>
        <w:bottom w:val="none" w:sz="0" w:space="0" w:color="auto"/>
        <w:right w:val="none" w:sz="0" w:space="0" w:color="auto"/>
      </w:divBdr>
      <w:divsChild>
        <w:div w:id="1498306550">
          <w:marLeft w:val="1166"/>
          <w:marRight w:val="0"/>
          <w:marTop w:val="106"/>
          <w:marBottom w:val="0"/>
          <w:divBdr>
            <w:top w:val="none" w:sz="0" w:space="0" w:color="auto"/>
            <w:left w:val="none" w:sz="0" w:space="0" w:color="auto"/>
            <w:bottom w:val="none" w:sz="0" w:space="0" w:color="auto"/>
            <w:right w:val="none" w:sz="0" w:space="0" w:color="auto"/>
          </w:divBdr>
        </w:div>
        <w:div w:id="539635389">
          <w:marLeft w:val="1166"/>
          <w:marRight w:val="0"/>
          <w:marTop w:val="106"/>
          <w:marBottom w:val="0"/>
          <w:divBdr>
            <w:top w:val="none" w:sz="0" w:space="0" w:color="auto"/>
            <w:left w:val="none" w:sz="0" w:space="0" w:color="auto"/>
            <w:bottom w:val="none" w:sz="0" w:space="0" w:color="auto"/>
            <w:right w:val="none" w:sz="0" w:space="0" w:color="auto"/>
          </w:divBdr>
        </w:div>
        <w:div w:id="757556387">
          <w:marLeft w:val="1166"/>
          <w:marRight w:val="0"/>
          <w:marTop w:val="106"/>
          <w:marBottom w:val="0"/>
          <w:divBdr>
            <w:top w:val="none" w:sz="0" w:space="0" w:color="auto"/>
            <w:left w:val="none" w:sz="0" w:space="0" w:color="auto"/>
            <w:bottom w:val="none" w:sz="0" w:space="0" w:color="auto"/>
            <w:right w:val="none" w:sz="0" w:space="0" w:color="auto"/>
          </w:divBdr>
        </w:div>
        <w:div w:id="1489126690">
          <w:marLeft w:val="1166"/>
          <w:marRight w:val="0"/>
          <w:marTop w:val="106"/>
          <w:marBottom w:val="0"/>
          <w:divBdr>
            <w:top w:val="none" w:sz="0" w:space="0" w:color="auto"/>
            <w:left w:val="none" w:sz="0" w:space="0" w:color="auto"/>
            <w:bottom w:val="none" w:sz="0" w:space="0" w:color="auto"/>
            <w:right w:val="none" w:sz="0" w:space="0" w:color="auto"/>
          </w:divBdr>
        </w:div>
        <w:div w:id="1153831110">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rnleycampu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Alwyine-Mosely</dc:creator>
  <cp:lastModifiedBy>John Alwyine-Mosely</cp:lastModifiedBy>
  <cp:revision>2</cp:revision>
  <cp:lastPrinted>1601-01-01T00:00:00Z</cp:lastPrinted>
  <dcterms:created xsi:type="dcterms:W3CDTF">2011-11-06T19:37:00Z</dcterms:created>
  <dcterms:modified xsi:type="dcterms:W3CDTF">2011-11-06T19:37:00Z</dcterms:modified>
</cp:coreProperties>
</file>