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B84" w:rsidRDefault="005C4B84" w:rsidP="005C4B84">
      <w:pPr>
        <w:spacing w:after="0" w:line="240" w:lineRule="auto"/>
        <w:ind w:left="720"/>
        <w:jc w:val="right"/>
        <w:textAlignment w:val="baseline"/>
        <w:outlineLvl w:val="1"/>
        <w:rPr>
          <w:rFonts w:eastAsia="Times New Roman" w:cstheme="minorHAnsi"/>
          <w:b/>
          <w:bCs/>
          <w:color w:val="000000" w:themeColor="text1"/>
          <w:sz w:val="96"/>
          <w:szCs w:val="96"/>
          <w:vertAlign w:val="subscript"/>
          <w:lang w:eastAsia="en-GB"/>
        </w:rPr>
      </w:pPr>
      <w:r w:rsidRPr="00375AA9">
        <w:rPr>
          <w:rFonts w:eastAsia="Times New Roman" w:cstheme="minorHAnsi"/>
          <w:b/>
          <w:bCs/>
          <w:color w:val="000000" w:themeColor="text1"/>
          <w:sz w:val="96"/>
          <w:szCs w:val="96"/>
          <w:vertAlign w:val="subscript"/>
          <w:lang w:eastAsia="en-GB"/>
        </w:rPr>
        <w:t xml:space="preserve">Factsheet </w:t>
      </w:r>
      <w:r w:rsidR="00BB1A56">
        <w:rPr>
          <w:rFonts w:eastAsia="Times New Roman" w:cstheme="minorHAnsi"/>
          <w:b/>
          <w:bCs/>
          <w:color w:val="000000" w:themeColor="text1"/>
          <w:sz w:val="96"/>
          <w:szCs w:val="96"/>
          <w:vertAlign w:val="subscript"/>
          <w:lang w:eastAsia="en-GB"/>
        </w:rPr>
        <w:t>Eight</w:t>
      </w:r>
    </w:p>
    <w:p w:rsidR="00A147A4" w:rsidRPr="00375AA9" w:rsidRDefault="00A147A4" w:rsidP="005C4B84">
      <w:pPr>
        <w:spacing w:after="0" w:line="240" w:lineRule="auto"/>
        <w:ind w:left="720"/>
        <w:jc w:val="right"/>
        <w:textAlignment w:val="baseline"/>
        <w:outlineLvl w:val="1"/>
        <w:rPr>
          <w:rFonts w:eastAsia="Times New Roman" w:cstheme="minorHAnsi"/>
          <w:b/>
          <w:bCs/>
          <w:color w:val="000000" w:themeColor="text1"/>
          <w:sz w:val="96"/>
          <w:szCs w:val="96"/>
          <w:vertAlign w:val="subscript"/>
          <w:lang w:eastAsia="en-GB"/>
        </w:rPr>
      </w:pPr>
      <w:r>
        <w:rPr>
          <w:rFonts w:eastAsia="Times New Roman" w:cstheme="minorHAnsi"/>
          <w:b/>
          <w:bCs/>
          <w:color w:val="000000" w:themeColor="text1"/>
          <w:sz w:val="96"/>
          <w:szCs w:val="96"/>
          <w:vertAlign w:val="subscript"/>
          <w:lang w:eastAsia="en-GB"/>
        </w:rPr>
        <w:t>Consortium</w:t>
      </w:r>
    </w:p>
    <w:p w:rsidR="005C4B84" w:rsidRPr="00375AA9" w:rsidRDefault="005C4B84" w:rsidP="005C4B84">
      <w:pPr>
        <w:spacing w:after="0" w:line="240" w:lineRule="auto"/>
        <w:jc w:val="right"/>
        <w:textAlignment w:val="baseline"/>
        <w:outlineLvl w:val="1"/>
        <w:rPr>
          <w:rFonts w:eastAsia="Times New Roman" w:cstheme="minorHAnsi"/>
          <w:b/>
          <w:bCs/>
          <w:color w:val="000000" w:themeColor="text1"/>
          <w:sz w:val="36"/>
          <w:szCs w:val="36"/>
          <w:lang w:eastAsia="en-GB"/>
        </w:rPr>
      </w:pPr>
      <w:r>
        <w:rPr>
          <w:rFonts w:eastAsia="Times New Roman" w:cstheme="minorHAnsi"/>
          <w:b/>
          <w:bCs/>
          <w:color w:val="000000" w:themeColor="text1"/>
          <w:sz w:val="36"/>
          <w:szCs w:val="36"/>
          <w:lang w:eastAsia="en-GB"/>
        </w:rPr>
        <w:t>VCS led model</w:t>
      </w:r>
    </w:p>
    <w:p w:rsidR="00B11923" w:rsidRDefault="00B11923" w:rsidP="005C4B84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5C4B84" w:rsidRPr="00A147A4" w:rsidRDefault="00A147A4" w:rsidP="005C4B84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748D4">
        <w:rPr>
          <w:rFonts w:cstheme="minorHAnsi"/>
          <w:b/>
          <w:bCs/>
          <w:sz w:val="28"/>
          <w:szCs w:val="28"/>
        </w:rPr>
        <w:object w:dxaOrig="9252" w:dyaOrig="64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5pt;height:322pt" o:ole="">
            <v:imagedata r:id="rId8" o:title=""/>
          </v:shape>
          <o:OLEObject Type="Embed" ProgID="Word.Document.12" ShapeID="_x0000_i1025" DrawAspect="Content" ObjectID="_1425195664" r:id="rId9">
            <o:FieldCodes>\s</o:FieldCodes>
          </o:OLEObject>
        </w:object>
      </w:r>
      <w:r w:rsidR="007919D9">
        <w:rPr>
          <w:rFonts w:cstheme="minorHAnsi"/>
          <w:b/>
          <w:bCs/>
          <w:sz w:val="28"/>
          <w:szCs w:val="28"/>
        </w:rPr>
        <w:t>Joint venture consortia</w:t>
      </w:r>
      <w:r w:rsidR="005C4B84">
        <w:rPr>
          <w:rFonts w:cstheme="minorHAnsi"/>
          <w:b/>
          <w:bCs/>
          <w:sz w:val="28"/>
          <w:szCs w:val="28"/>
        </w:rPr>
        <w:t>:</w:t>
      </w:r>
      <w:r w:rsidR="005C4B84" w:rsidRPr="005C4B84">
        <w:rPr>
          <w:rFonts w:cstheme="minorHAnsi"/>
          <w:b/>
          <w:bCs/>
          <w:sz w:val="24"/>
          <w:szCs w:val="24"/>
        </w:rPr>
        <w:t xml:space="preserve"> </w:t>
      </w:r>
      <w:r w:rsidR="007919D9">
        <w:rPr>
          <w:rFonts w:cstheme="minorHAnsi"/>
          <w:b/>
          <w:bCs/>
          <w:sz w:val="24"/>
          <w:szCs w:val="24"/>
        </w:rPr>
        <w:t>H</w:t>
      </w:r>
      <w:r w:rsidR="001E6DFD">
        <w:rPr>
          <w:rFonts w:cstheme="minorHAnsi"/>
          <w:b/>
          <w:bCs/>
          <w:sz w:val="24"/>
          <w:szCs w:val="24"/>
        </w:rPr>
        <w:t>ere</w:t>
      </w:r>
      <w:r w:rsidR="007919D9">
        <w:rPr>
          <w:rFonts w:cstheme="minorHAnsi"/>
          <w:b/>
          <w:bCs/>
          <w:sz w:val="24"/>
          <w:szCs w:val="24"/>
        </w:rPr>
        <w:t>2H</w:t>
      </w:r>
      <w:r w:rsidR="001E6DFD">
        <w:rPr>
          <w:rFonts w:cstheme="minorHAnsi"/>
          <w:b/>
          <w:bCs/>
          <w:sz w:val="24"/>
          <w:szCs w:val="24"/>
        </w:rPr>
        <w:t>elp</w:t>
      </w:r>
    </w:p>
    <w:p w:rsidR="004C1A20" w:rsidRPr="004C1A20" w:rsidRDefault="004C1A20" w:rsidP="005C4B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16"/>
          <w:szCs w:val="16"/>
        </w:rPr>
      </w:pPr>
    </w:p>
    <w:p w:rsidR="00031ADE" w:rsidRPr="005C4B84" w:rsidRDefault="00031ADE" w:rsidP="005C4B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5C4B84">
        <w:rPr>
          <w:rFonts w:ascii="Calibri" w:hAnsi="Calibri" w:cs="Calibri"/>
          <w:b/>
          <w:color w:val="000000"/>
          <w:sz w:val="24"/>
          <w:szCs w:val="24"/>
        </w:rPr>
        <w:t>Background</w:t>
      </w:r>
    </w:p>
    <w:p w:rsidR="00031ADE" w:rsidRDefault="00031ADE" w:rsidP="00031A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:rsidR="001E6DFD" w:rsidRPr="002E5437" w:rsidRDefault="007919D9" w:rsidP="001E6D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Here2Help </w:t>
      </w:r>
      <w:r w:rsidR="001E6DFD">
        <w:rPr>
          <w:rFonts w:cstheme="minorHAnsi"/>
          <w:color w:val="000000"/>
          <w:sz w:val="24"/>
          <w:szCs w:val="24"/>
        </w:rPr>
        <w:t>(H2H)</w:t>
      </w:r>
      <w:r w:rsidR="00B11923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is a recent response to </w:t>
      </w:r>
      <w:r w:rsidRPr="007919D9">
        <w:rPr>
          <w:rFonts w:cstheme="minorHAnsi"/>
          <w:color w:val="000000"/>
          <w:sz w:val="24"/>
          <w:szCs w:val="24"/>
        </w:rPr>
        <w:t xml:space="preserve">both </w:t>
      </w:r>
      <w:r>
        <w:rPr>
          <w:rFonts w:cstheme="minorHAnsi"/>
          <w:color w:val="000000"/>
          <w:sz w:val="24"/>
          <w:szCs w:val="24"/>
        </w:rPr>
        <w:t xml:space="preserve">the </w:t>
      </w:r>
      <w:r w:rsidRPr="007919D9">
        <w:rPr>
          <w:rFonts w:cstheme="minorHAnsi"/>
          <w:color w:val="000000"/>
          <w:sz w:val="24"/>
          <w:szCs w:val="24"/>
        </w:rPr>
        <w:t xml:space="preserve">threats and opportunities for the </w:t>
      </w:r>
      <w:r>
        <w:rPr>
          <w:rFonts w:cstheme="minorHAnsi"/>
          <w:color w:val="000000"/>
          <w:sz w:val="24"/>
          <w:szCs w:val="24"/>
        </w:rPr>
        <w:t>VCS of cuts in public funding</w:t>
      </w:r>
      <w:r w:rsidRPr="007919D9">
        <w:rPr>
          <w:rFonts w:cstheme="minorHAnsi"/>
          <w:color w:val="000000"/>
          <w:sz w:val="24"/>
          <w:szCs w:val="24"/>
        </w:rPr>
        <w:t xml:space="preserve">.  </w:t>
      </w:r>
      <w:r>
        <w:rPr>
          <w:rFonts w:cstheme="minorHAnsi"/>
          <w:color w:val="000000"/>
          <w:sz w:val="24"/>
          <w:szCs w:val="24"/>
        </w:rPr>
        <w:t xml:space="preserve">It wanted to work with </w:t>
      </w:r>
      <w:r w:rsidRPr="007919D9">
        <w:rPr>
          <w:rFonts w:cstheme="minorHAnsi"/>
          <w:color w:val="000000"/>
          <w:sz w:val="24"/>
          <w:szCs w:val="24"/>
        </w:rPr>
        <w:t>Coventry City Council</w:t>
      </w:r>
      <w:r>
        <w:rPr>
          <w:rFonts w:cstheme="minorHAnsi"/>
          <w:color w:val="000000"/>
          <w:sz w:val="24"/>
          <w:szCs w:val="24"/>
        </w:rPr>
        <w:t xml:space="preserve"> to develop </w:t>
      </w:r>
      <w:r w:rsidRPr="007919D9">
        <w:rPr>
          <w:rFonts w:cstheme="minorHAnsi"/>
          <w:color w:val="000000"/>
          <w:sz w:val="24"/>
          <w:szCs w:val="24"/>
        </w:rPr>
        <w:t>new way</w:t>
      </w:r>
      <w:r>
        <w:rPr>
          <w:rFonts w:cstheme="minorHAnsi"/>
          <w:color w:val="000000"/>
          <w:sz w:val="24"/>
          <w:szCs w:val="24"/>
        </w:rPr>
        <w:t>s</w:t>
      </w:r>
      <w:r w:rsidRPr="007919D9">
        <w:rPr>
          <w:rFonts w:cstheme="minorHAnsi"/>
          <w:color w:val="000000"/>
          <w:sz w:val="24"/>
          <w:szCs w:val="24"/>
        </w:rPr>
        <w:t xml:space="preserve"> of commissioning and delivering fro</w:t>
      </w:r>
      <w:r>
        <w:rPr>
          <w:rFonts w:cstheme="minorHAnsi"/>
          <w:color w:val="000000"/>
          <w:sz w:val="24"/>
          <w:szCs w:val="24"/>
        </w:rPr>
        <w:t xml:space="preserve">ntline services especially ones that could </w:t>
      </w:r>
      <w:r w:rsidRPr="007919D9">
        <w:rPr>
          <w:rFonts w:cstheme="minorHAnsi"/>
          <w:color w:val="000000"/>
          <w:sz w:val="24"/>
          <w:szCs w:val="24"/>
        </w:rPr>
        <w:t>deliver better services and value for money: the co-design of services; more outcome-focused commissioning; better understanding of additional</w:t>
      </w:r>
      <w:r>
        <w:rPr>
          <w:rFonts w:cstheme="minorHAnsi"/>
          <w:color w:val="000000"/>
          <w:sz w:val="24"/>
          <w:szCs w:val="24"/>
        </w:rPr>
        <w:t xml:space="preserve"> public value from VCS delivery. In short. </w:t>
      </w:r>
      <w:r w:rsidR="002E5437">
        <w:rPr>
          <w:rFonts w:cstheme="minorHAnsi"/>
          <w:color w:val="000000"/>
          <w:sz w:val="24"/>
          <w:szCs w:val="24"/>
        </w:rPr>
        <w:t>H2H</w:t>
      </w:r>
      <w:r w:rsidR="002E5437" w:rsidRPr="007919D9">
        <w:rPr>
          <w:rFonts w:cstheme="minorHAnsi"/>
          <w:color w:val="000000"/>
          <w:sz w:val="24"/>
          <w:szCs w:val="24"/>
        </w:rPr>
        <w:t xml:space="preserve"> </w:t>
      </w:r>
      <w:r w:rsidR="002E5437">
        <w:rPr>
          <w:rFonts w:cstheme="minorHAnsi"/>
          <w:color w:val="000000"/>
          <w:sz w:val="24"/>
          <w:szCs w:val="24"/>
        </w:rPr>
        <w:t>will</w:t>
      </w:r>
      <w:r>
        <w:rPr>
          <w:rFonts w:cstheme="minorHAnsi"/>
          <w:color w:val="000000"/>
          <w:sz w:val="24"/>
          <w:szCs w:val="24"/>
        </w:rPr>
        <w:t xml:space="preserve"> not run services as such but will be the lead contractor and “pipeline‟ </w:t>
      </w:r>
      <w:r w:rsidRPr="007919D9">
        <w:rPr>
          <w:rFonts w:cstheme="minorHAnsi"/>
          <w:color w:val="000000"/>
          <w:sz w:val="24"/>
          <w:szCs w:val="24"/>
        </w:rPr>
        <w:t xml:space="preserve">whereby local authority funding </w:t>
      </w:r>
      <w:r>
        <w:rPr>
          <w:rFonts w:cstheme="minorHAnsi"/>
          <w:color w:val="000000"/>
          <w:sz w:val="24"/>
          <w:szCs w:val="24"/>
        </w:rPr>
        <w:t xml:space="preserve">is </w:t>
      </w:r>
      <w:r w:rsidRPr="007919D9">
        <w:rPr>
          <w:rFonts w:cstheme="minorHAnsi"/>
          <w:color w:val="000000"/>
          <w:sz w:val="24"/>
          <w:szCs w:val="24"/>
        </w:rPr>
        <w:t>channelled on a non-co</w:t>
      </w:r>
      <w:r>
        <w:rPr>
          <w:rFonts w:cstheme="minorHAnsi"/>
          <w:color w:val="000000"/>
          <w:sz w:val="24"/>
          <w:szCs w:val="24"/>
        </w:rPr>
        <w:t>mpetitive basis to the VCS with it as a</w:t>
      </w:r>
      <w:r w:rsidRPr="007919D9">
        <w:rPr>
          <w:rFonts w:cstheme="minorHAnsi"/>
          <w:color w:val="000000"/>
          <w:sz w:val="24"/>
          <w:szCs w:val="24"/>
        </w:rPr>
        <w:t xml:space="preserve"> sector-owned and controlled strategic fund management mechanism. </w:t>
      </w:r>
      <w:r w:rsidR="001E6DFD">
        <w:rPr>
          <w:rFonts w:cstheme="minorHAnsi"/>
          <w:color w:val="000000"/>
          <w:sz w:val="24"/>
          <w:szCs w:val="24"/>
        </w:rPr>
        <w:t xml:space="preserve">It aims to grow and sustain the VCS sector through its membership and quality processes. </w:t>
      </w:r>
      <w:r w:rsidR="001E6DFD">
        <w:rPr>
          <w:rFonts w:ascii="Calibri" w:hAnsi="Calibri" w:cs="Calibri"/>
          <w:color w:val="000000"/>
          <w:sz w:val="24"/>
          <w:szCs w:val="24"/>
        </w:rPr>
        <w:t xml:space="preserve">A full member is deemed </w:t>
      </w:r>
      <w:r w:rsidR="001E6DFD">
        <w:rPr>
          <w:rFonts w:ascii="Calibri" w:hAnsi="Calibri" w:cs="Calibri"/>
          <w:i/>
          <w:color w:val="000000"/>
          <w:sz w:val="24"/>
          <w:szCs w:val="24"/>
        </w:rPr>
        <w:t>contract ready</w:t>
      </w:r>
      <w:r w:rsidR="001E6DFD">
        <w:rPr>
          <w:rFonts w:ascii="Calibri" w:hAnsi="Calibri" w:cs="Calibri"/>
          <w:color w:val="000000"/>
          <w:sz w:val="24"/>
          <w:szCs w:val="24"/>
        </w:rPr>
        <w:t xml:space="preserve"> and associated members </w:t>
      </w:r>
      <w:r w:rsidR="001E6DFD" w:rsidRPr="00DC19EB">
        <w:rPr>
          <w:rFonts w:ascii="Calibri" w:hAnsi="Calibri" w:cs="Calibri"/>
          <w:i/>
          <w:color w:val="000000"/>
          <w:sz w:val="24"/>
          <w:szCs w:val="24"/>
        </w:rPr>
        <w:t>not contract ready</w:t>
      </w:r>
      <w:r w:rsidR="001E6DFD">
        <w:rPr>
          <w:rFonts w:ascii="Calibri" w:hAnsi="Calibri" w:cs="Calibri"/>
          <w:color w:val="000000"/>
          <w:sz w:val="24"/>
          <w:szCs w:val="24"/>
        </w:rPr>
        <w:t xml:space="preserve"> depending how 10 key criteria are met. H2H works with the associate members to bring them to full </w:t>
      </w:r>
      <w:r w:rsidR="001E6DFD">
        <w:rPr>
          <w:rFonts w:ascii="Calibri" w:hAnsi="Calibri" w:cs="Calibri"/>
          <w:i/>
          <w:color w:val="000000"/>
          <w:sz w:val="24"/>
          <w:szCs w:val="24"/>
        </w:rPr>
        <w:t xml:space="preserve">contract ready status </w:t>
      </w:r>
      <w:r w:rsidR="001E6DFD">
        <w:rPr>
          <w:rFonts w:ascii="Calibri" w:hAnsi="Calibri" w:cs="Calibri"/>
          <w:color w:val="000000"/>
          <w:sz w:val="24"/>
          <w:szCs w:val="24"/>
        </w:rPr>
        <w:t>and also required annual updates from all members to ensure quality.</w:t>
      </w:r>
    </w:p>
    <w:p w:rsidR="007919D9" w:rsidRDefault="007919D9" w:rsidP="00031A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:rsidR="00031ADE" w:rsidRDefault="007C1DE9" w:rsidP="00031A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5C4B84">
        <w:rPr>
          <w:rFonts w:ascii="Calibri" w:hAnsi="Calibri" w:cs="Calibri"/>
          <w:b/>
          <w:color w:val="000000"/>
          <w:sz w:val="24"/>
          <w:szCs w:val="24"/>
        </w:rPr>
        <w:t>Governance</w:t>
      </w:r>
    </w:p>
    <w:p w:rsidR="00B11923" w:rsidRPr="005C4B84" w:rsidRDefault="00B11923" w:rsidP="00031A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:rsidR="001E6DFD" w:rsidRDefault="007919D9" w:rsidP="002E54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7919D9">
        <w:rPr>
          <w:rFonts w:ascii="Calibri" w:hAnsi="Calibri" w:cs="Calibri"/>
          <w:color w:val="000000"/>
          <w:sz w:val="24"/>
          <w:szCs w:val="24"/>
        </w:rPr>
        <w:lastRenderedPageBreak/>
        <w:t>H2H will be organised as a formal consortium that will be collectively owned by</w:t>
      </w:r>
      <w:r w:rsidR="00DC19EB">
        <w:rPr>
          <w:rFonts w:ascii="Calibri" w:hAnsi="Calibri" w:cs="Calibri"/>
          <w:color w:val="000000"/>
          <w:sz w:val="24"/>
          <w:szCs w:val="24"/>
        </w:rPr>
        <w:t xml:space="preserve"> its members through it being </w:t>
      </w:r>
      <w:r w:rsidR="00DC19EB" w:rsidRPr="007919D9">
        <w:rPr>
          <w:rFonts w:ascii="Calibri" w:hAnsi="Calibri" w:cs="Calibri"/>
          <w:color w:val="000000"/>
          <w:sz w:val="24"/>
          <w:szCs w:val="24"/>
        </w:rPr>
        <w:t>structured as a company limited by guarantee with registered charitable sta</w:t>
      </w:r>
      <w:r w:rsidR="00DC19EB">
        <w:rPr>
          <w:rFonts w:ascii="Calibri" w:hAnsi="Calibri" w:cs="Calibri"/>
          <w:color w:val="000000"/>
          <w:sz w:val="24"/>
          <w:szCs w:val="24"/>
        </w:rPr>
        <w:t xml:space="preserve">tus. </w:t>
      </w:r>
      <w:r w:rsidR="00393FD2">
        <w:rPr>
          <w:rFonts w:ascii="Calibri" w:hAnsi="Calibri" w:cs="Calibri"/>
          <w:color w:val="000000"/>
          <w:sz w:val="24"/>
          <w:szCs w:val="24"/>
        </w:rPr>
        <w:t xml:space="preserve"> It will serve as hub</w:t>
      </w:r>
      <w:r w:rsidR="00B11923">
        <w:rPr>
          <w:rFonts w:ascii="Calibri" w:hAnsi="Calibri" w:cs="Calibri"/>
          <w:color w:val="000000"/>
          <w:sz w:val="24"/>
          <w:szCs w:val="24"/>
        </w:rPr>
        <w:t xml:space="preserve"> service</w:t>
      </w:r>
      <w:r w:rsidR="00393FD2">
        <w:rPr>
          <w:rFonts w:ascii="Calibri" w:hAnsi="Calibri" w:cs="Calibri"/>
          <w:color w:val="000000"/>
          <w:sz w:val="24"/>
          <w:szCs w:val="24"/>
        </w:rPr>
        <w:t xml:space="preserve"> to provider spokes.</w:t>
      </w:r>
      <w:r w:rsidR="00DC19EB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E6DF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5437" w:rsidRPr="002E5437">
        <w:rPr>
          <w:rFonts w:ascii="Calibri" w:hAnsi="Calibri" w:cs="Calibri"/>
          <w:color w:val="000000"/>
          <w:sz w:val="24"/>
          <w:szCs w:val="24"/>
        </w:rPr>
        <w:t xml:space="preserve">The board of trustees will be composed of a blend of executive managers from the member organisations and individuals outside of the consortium membership with an interest in the delivery of public services by the VCS. </w:t>
      </w:r>
      <w:r w:rsidR="001E6DF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5437" w:rsidRPr="002E5437">
        <w:rPr>
          <w:rFonts w:ascii="Calibri" w:hAnsi="Calibri" w:cs="Calibri"/>
          <w:color w:val="000000"/>
          <w:sz w:val="24"/>
          <w:szCs w:val="24"/>
        </w:rPr>
        <w:t>Places on the board will be the subject of open contest on a twelve-monthly basis through the Annual General Meeting (AGM)</w:t>
      </w:r>
      <w:r w:rsidR="001E6DFD">
        <w:rPr>
          <w:rFonts w:ascii="Calibri" w:hAnsi="Calibri" w:cs="Calibri"/>
          <w:color w:val="000000"/>
          <w:sz w:val="24"/>
          <w:szCs w:val="24"/>
        </w:rPr>
        <w:t xml:space="preserve"> and all members have the same voting rights.</w:t>
      </w:r>
      <w:r w:rsidR="00393FD2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1E6DFD" w:rsidRDefault="001E6DFD" w:rsidP="00031A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:rsidR="008936FF" w:rsidRDefault="008936FF" w:rsidP="00031A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8936FF">
        <w:rPr>
          <w:rFonts w:ascii="Calibri" w:hAnsi="Calibri" w:cs="Calibri"/>
          <w:b/>
          <w:color w:val="000000"/>
          <w:sz w:val="24"/>
          <w:szCs w:val="24"/>
        </w:rPr>
        <w:t xml:space="preserve">Accountability </w:t>
      </w:r>
    </w:p>
    <w:p w:rsidR="00B11923" w:rsidRPr="008936FF" w:rsidRDefault="00B11923" w:rsidP="00031A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:rsidR="00A74FAB" w:rsidRPr="008936FF" w:rsidRDefault="0094292E" w:rsidP="008936F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936FF">
        <w:rPr>
          <w:rFonts w:ascii="Calibri" w:hAnsi="Calibri" w:cs="Calibri"/>
          <w:color w:val="000000"/>
          <w:sz w:val="24"/>
          <w:szCs w:val="24"/>
        </w:rPr>
        <w:t>clearly defined outcomes</w:t>
      </w:r>
      <w:r w:rsidR="001E6DFD">
        <w:rPr>
          <w:rFonts w:ascii="Calibri" w:hAnsi="Calibri" w:cs="Calibri"/>
          <w:color w:val="000000"/>
          <w:sz w:val="24"/>
          <w:szCs w:val="24"/>
        </w:rPr>
        <w:t xml:space="preserve"> defined by the 10 membership criteria</w:t>
      </w:r>
    </w:p>
    <w:p w:rsidR="00A74FAB" w:rsidRPr="008936FF" w:rsidRDefault="0094292E" w:rsidP="008936F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936FF">
        <w:rPr>
          <w:rFonts w:ascii="Calibri" w:hAnsi="Calibri" w:cs="Calibri"/>
          <w:color w:val="000000"/>
          <w:sz w:val="24"/>
          <w:szCs w:val="24"/>
        </w:rPr>
        <w:t>robust and transparent mechanisms for information about per</w:t>
      </w:r>
      <w:r w:rsidR="00393FD2">
        <w:rPr>
          <w:rFonts w:ascii="Calibri" w:hAnsi="Calibri" w:cs="Calibri"/>
          <w:color w:val="000000"/>
          <w:sz w:val="24"/>
          <w:szCs w:val="24"/>
        </w:rPr>
        <w:t>formance and financial management as required and spelt out in key operational statements</w:t>
      </w:r>
    </w:p>
    <w:p w:rsidR="00A74FAB" w:rsidRPr="008936FF" w:rsidRDefault="008936FF" w:rsidP="008936F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 single lead organisation</w:t>
      </w:r>
      <w:r w:rsidR="00393FD2">
        <w:rPr>
          <w:rFonts w:ascii="Calibri" w:hAnsi="Calibri" w:cs="Calibri"/>
          <w:color w:val="000000"/>
          <w:sz w:val="24"/>
          <w:szCs w:val="24"/>
        </w:rPr>
        <w:t xml:space="preserve"> with clear reporting lines to its members involved in any one bid</w:t>
      </w:r>
    </w:p>
    <w:p w:rsidR="00A74FAB" w:rsidRPr="008936FF" w:rsidRDefault="0094292E" w:rsidP="008936F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936FF">
        <w:rPr>
          <w:rFonts w:ascii="Calibri" w:hAnsi="Calibri" w:cs="Calibri"/>
          <w:color w:val="000000"/>
          <w:sz w:val="24"/>
          <w:szCs w:val="24"/>
        </w:rPr>
        <w:t>good governance arrangements</w:t>
      </w:r>
      <w:r w:rsidR="008936FF">
        <w:rPr>
          <w:rFonts w:ascii="Calibri" w:hAnsi="Calibri" w:cs="Calibri"/>
          <w:color w:val="000000"/>
          <w:sz w:val="24"/>
          <w:szCs w:val="24"/>
        </w:rPr>
        <w:t xml:space="preserve"> bas</w:t>
      </w:r>
      <w:r w:rsidR="00393FD2">
        <w:rPr>
          <w:rFonts w:ascii="Calibri" w:hAnsi="Calibri" w:cs="Calibri"/>
          <w:color w:val="000000"/>
          <w:sz w:val="24"/>
          <w:szCs w:val="24"/>
        </w:rPr>
        <w:t>ed around membership</w:t>
      </w:r>
    </w:p>
    <w:p w:rsidR="008936FF" w:rsidRDefault="0094292E" w:rsidP="008936F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936FF">
        <w:rPr>
          <w:rFonts w:ascii="Calibri" w:hAnsi="Calibri" w:cs="Calibri"/>
          <w:color w:val="000000"/>
          <w:sz w:val="24"/>
          <w:szCs w:val="24"/>
        </w:rPr>
        <w:t>a clear system for dealing promptly with failure</w:t>
      </w:r>
      <w:r w:rsidR="00393FD2">
        <w:rPr>
          <w:rFonts w:ascii="Calibri" w:hAnsi="Calibri" w:cs="Calibri"/>
          <w:color w:val="000000"/>
          <w:sz w:val="24"/>
          <w:szCs w:val="24"/>
        </w:rPr>
        <w:t xml:space="preserve"> is suggested by the quality check as well as the individual contracts</w:t>
      </w:r>
    </w:p>
    <w:p w:rsidR="00D14D5B" w:rsidRPr="008936FF" w:rsidRDefault="008936FF" w:rsidP="008936F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936FF">
        <w:rPr>
          <w:rFonts w:ascii="Calibri" w:hAnsi="Calibri" w:cs="Calibri"/>
          <w:color w:val="000000"/>
          <w:sz w:val="24"/>
          <w:szCs w:val="24"/>
        </w:rPr>
        <w:t>funding allocation proc</w:t>
      </w:r>
      <w:r w:rsidR="00B11923">
        <w:rPr>
          <w:rFonts w:ascii="Calibri" w:hAnsi="Calibri" w:cs="Calibri"/>
          <w:color w:val="000000"/>
          <w:sz w:val="24"/>
          <w:szCs w:val="24"/>
        </w:rPr>
        <w:t xml:space="preserve">ess </w:t>
      </w:r>
      <w:r w:rsidRPr="008936FF">
        <w:rPr>
          <w:rFonts w:ascii="Calibri" w:hAnsi="Calibri" w:cs="Calibri"/>
          <w:color w:val="000000"/>
          <w:sz w:val="24"/>
          <w:szCs w:val="24"/>
        </w:rPr>
        <w:t>is explicit and auditable, supported by a thorough evaluation o</w:t>
      </w:r>
      <w:r w:rsidR="00393FD2">
        <w:rPr>
          <w:rFonts w:ascii="Calibri" w:hAnsi="Calibri" w:cs="Calibri"/>
          <w:color w:val="000000"/>
          <w:sz w:val="24"/>
          <w:szCs w:val="24"/>
        </w:rPr>
        <w:t>f outcomes agreed with any one individual consortia</w:t>
      </w:r>
      <w:r w:rsidR="00B11923">
        <w:rPr>
          <w:rFonts w:ascii="Calibri" w:hAnsi="Calibri" w:cs="Calibri"/>
          <w:color w:val="000000"/>
          <w:sz w:val="24"/>
          <w:szCs w:val="24"/>
        </w:rPr>
        <w:t xml:space="preserve"> through </w:t>
      </w:r>
      <w:r w:rsidR="00B11923" w:rsidRPr="00B11923">
        <w:rPr>
          <w:rFonts w:ascii="Calibri" w:hAnsi="Calibri" w:cs="Calibri"/>
          <w:color w:val="000000"/>
          <w:sz w:val="24"/>
          <w:szCs w:val="24"/>
        </w:rPr>
        <w:t xml:space="preserve">joint delivery </w:t>
      </w:r>
      <w:r w:rsidR="00B11923">
        <w:rPr>
          <w:rFonts w:ascii="Calibri" w:hAnsi="Calibri" w:cs="Calibri"/>
          <w:color w:val="000000"/>
          <w:sz w:val="24"/>
          <w:szCs w:val="24"/>
        </w:rPr>
        <w:t>planning or internal tendering</w:t>
      </w:r>
    </w:p>
    <w:p w:rsidR="00B60552" w:rsidRPr="005C4B84" w:rsidRDefault="00B60552" w:rsidP="00FD0E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D0E32" w:rsidRDefault="00FD0E32" w:rsidP="00FD0E32">
      <w:pPr>
        <w:spacing w:after="0" w:line="240" w:lineRule="auto"/>
        <w:rPr>
          <w:rFonts w:eastAsia="Times New Roman" w:cstheme="minorHAnsi"/>
          <w:b/>
          <w:color w:val="000000" w:themeColor="text1"/>
          <w:lang w:eastAsia="en-GB"/>
        </w:rPr>
      </w:pPr>
      <w:r w:rsidRPr="00375AA9">
        <w:rPr>
          <w:rFonts w:eastAsia="Times New Roman" w:cstheme="minorHAnsi"/>
          <w:b/>
          <w:bCs/>
          <w:color w:val="000000" w:themeColor="text1"/>
          <w:lang w:eastAsia="en-GB"/>
        </w:rPr>
        <w:t>Local VCS engagement as provider</w:t>
      </w:r>
      <w:r w:rsidRPr="00375AA9">
        <w:rPr>
          <w:rFonts w:eastAsia="Times New Roman" w:cstheme="minorHAnsi"/>
          <w:b/>
          <w:color w:val="000000" w:themeColor="text1"/>
          <w:lang w:eastAsia="en-GB"/>
        </w:rPr>
        <w:t xml:space="preserve"> </w:t>
      </w:r>
    </w:p>
    <w:p w:rsidR="00B11923" w:rsidRDefault="00B11923" w:rsidP="00FD0E32">
      <w:pPr>
        <w:spacing w:after="0" w:line="240" w:lineRule="auto"/>
        <w:rPr>
          <w:rFonts w:eastAsia="Times New Roman" w:cstheme="minorHAnsi"/>
          <w:b/>
          <w:color w:val="000000" w:themeColor="text1"/>
          <w:lang w:eastAsia="en-GB"/>
        </w:rPr>
      </w:pPr>
    </w:p>
    <w:p w:rsidR="00FD0E32" w:rsidRPr="00375AA9" w:rsidRDefault="00393FD2" w:rsidP="00FD0E3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Will grow and sustain wide range of local VCS </w:t>
      </w:r>
    </w:p>
    <w:p w:rsidR="00FD0E32" w:rsidRDefault="00FD0E32" w:rsidP="00031A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AC328E" w:rsidTr="00AC328E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28E" w:rsidRDefault="00AC328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Pros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28E" w:rsidRDefault="00AC328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Cons</w:t>
            </w:r>
          </w:p>
        </w:tc>
      </w:tr>
      <w:tr w:rsidR="00AC328E" w:rsidTr="00AC328E">
        <w:trPr>
          <w:trHeight w:val="1467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8E" w:rsidRDefault="00AC328E" w:rsidP="00AC328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54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 Value driven </w:t>
            </w:r>
          </w:p>
          <w:p w:rsidR="00AC328E" w:rsidRDefault="00AC328E" w:rsidP="00AC328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54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Creates VCS led services </w:t>
            </w:r>
          </w:p>
          <w:p w:rsidR="00AC328E" w:rsidRDefault="00AC328E" w:rsidP="00AC328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54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Relatively simple to set up</w:t>
            </w:r>
          </w:p>
          <w:p w:rsidR="00AC328E" w:rsidRDefault="00AC328E" w:rsidP="00AC328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54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Objective criteria for capacity building </w:t>
            </w:r>
          </w:p>
          <w:p w:rsidR="00AC328E" w:rsidRDefault="00AC328E" w:rsidP="00AC328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54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Risk of failure managed </w:t>
            </w:r>
          </w:p>
          <w:p w:rsidR="00AC328E" w:rsidRDefault="00AC328E">
            <w:pPr>
              <w:pStyle w:val="ListParagraph"/>
              <w:autoSpaceDE w:val="0"/>
              <w:autoSpaceDN w:val="0"/>
              <w:adjustRightInd w:val="0"/>
              <w:ind w:left="454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8E" w:rsidRDefault="00AC328E" w:rsidP="00AC328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0" w:hanging="357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Resources needed to monitor and support sector</w:t>
            </w:r>
          </w:p>
          <w:p w:rsidR="00AC328E" w:rsidRDefault="00AC328E" w:rsidP="00AC328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0" w:hanging="357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Balancing small and large VCS allocations </w:t>
            </w:r>
          </w:p>
          <w:p w:rsidR="00AC328E" w:rsidRDefault="00AC328E" w:rsidP="00AC328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0" w:hanging="357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LA contacting and procurement set up </w:t>
            </w:r>
          </w:p>
          <w:p w:rsidR="00AC328E" w:rsidRDefault="00AC328E" w:rsidP="00AC328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0" w:hanging="357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Unknown track record for ‘new’ organisation </w:t>
            </w:r>
          </w:p>
          <w:p w:rsidR="00AC328E" w:rsidRDefault="00AC328E">
            <w:pPr>
              <w:pStyle w:val="ListParagraph"/>
              <w:autoSpaceDE w:val="0"/>
              <w:autoSpaceDN w:val="0"/>
              <w:adjustRightInd w:val="0"/>
              <w:ind w:left="397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FD0E32" w:rsidRDefault="00FD0E32" w:rsidP="00031A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D0E32" w:rsidRDefault="00FD0E32" w:rsidP="00031A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C1A20" w:rsidRDefault="004C1A20" w:rsidP="004C1A20">
      <w:pPr>
        <w:rPr>
          <w:rFonts w:cstheme="minorHAnsi"/>
          <w:b/>
          <w:color w:val="000000" w:themeColor="text1"/>
        </w:rPr>
      </w:pPr>
      <w:r w:rsidRPr="00375AA9">
        <w:rPr>
          <w:rFonts w:cstheme="minorHAnsi"/>
          <w:b/>
          <w:color w:val="000000" w:themeColor="text1"/>
        </w:rPr>
        <w:t>For information on the current situation</w:t>
      </w:r>
    </w:p>
    <w:p w:rsidR="00FD0E32" w:rsidRDefault="00C748D4" w:rsidP="00031A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hyperlink r:id="rId10" w:history="1">
        <w:r w:rsidR="00B11923">
          <w:rPr>
            <w:rStyle w:val="Hyperlink"/>
          </w:rPr>
          <w:t>http://www.vacoventry.org.uk/new-voluntary-sector-consortium-here2help-launched-22-february</w:t>
        </w:r>
      </w:hyperlink>
    </w:p>
    <w:p w:rsidR="00F2080E" w:rsidRPr="005C4B84" w:rsidRDefault="00031ADE" w:rsidP="00031ADE">
      <w:pPr>
        <w:rPr>
          <w:rFonts w:ascii="Calibri" w:hAnsi="Calibri" w:cs="Calibri"/>
          <w:sz w:val="24"/>
          <w:szCs w:val="24"/>
        </w:rPr>
      </w:pPr>
      <w:r w:rsidRPr="005C4B84">
        <w:rPr>
          <w:rFonts w:ascii="Calibri" w:hAnsi="Calibri" w:cs="Calibri"/>
          <w:color w:val="000000"/>
          <w:sz w:val="24"/>
          <w:szCs w:val="24"/>
        </w:rPr>
        <w:t>.</w:t>
      </w:r>
    </w:p>
    <w:sectPr w:rsidR="00F2080E" w:rsidRPr="005C4B84" w:rsidSect="005C4B84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074" w:rsidRDefault="001E2074" w:rsidP="005C4B84">
      <w:pPr>
        <w:spacing w:after="0" w:line="240" w:lineRule="auto"/>
      </w:pPr>
      <w:r>
        <w:separator/>
      </w:r>
    </w:p>
  </w:endnote>
  <w:endnote w:type="continuationSeparator" w:id="0">
    <w:p w:rsidR="001E2074" w:rsidRDefault="001E2074" w:rsidP="005C4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074" w:rsidRDefault="001E2074" w:rsidP="005C4B84">
      <w:pPr>
        <w:spacing w:after="0" w:line="240" w:lineRule="auto"/>
      </w:pPr>
      <w:r>
        <w:separator/>
      </w:r>
    </w:p>
  </w:footnote>
  <w:footnote w:type="continuationSeparator" w:id="0">
    <w:p w:rsidR="001E2074" w:rsidRDefault="001E2074" w:rsidP="005C4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1765"/>
    <w:multiLevelType w:val="hybridMultilevel"/>
    <w:tmpl w:val="4F5AAF9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2BC16C2"/>
    <w:multiLevelType w:val="hybridMultilevel"/>
    <w:tmpl w:val="733C41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167B17"/>
    <w:multiLevelType w:val="hybridMultilevel"/>
    <w:tmpl w:val="EC482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C42C9"/>
    <w:multiLevelType w:val="hybridMultilevel"/>
    <w:tmpl w:val="AFA6EE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2A199D"/>
    <w:multiLevelType w:val="hybridMultilevel"/>
    <w:tmpl w:val="963AD2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9A1ABC"/>
    <w:multiLevelType w:val="hybridMultilevel"/>
    <w:tmpl w:val="B0A41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951936"/>
    <w:multiLevelType w:val="hybridMultilevel"/>
    <w:tmpl w:val="DBE8E4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46A60"/>
    <w:multiLevelType w:val="hybridMultilevel"/>
    <w:tmpl w:val="4E5A5B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F8521D"/>
    <w:multiLevelType w:val="hybridMultilevel"/>
    <w:tmpl w:val="F4948316"/>
    <w:lvl w:ilvl="0" w:tplc="6F4C44F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88C08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E42B0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8C981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A4987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34FE1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0EC96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98E3B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B4F33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5EB1517"/>
    <w:multiLevelType w:val="hybridMultilevel"/>
    <w:tmpl w:val="A59E0F6C"/>
    <w:lvl w:ilvl="0" w:tplc="10E0B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EE5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28D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BC80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645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E2FC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DAB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FCA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084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9ED5309"/>
    <w:multiLevelType w:val="hybridMultilevel"/>
    <w:tmpl w:val="70E6C76A"/>
    <w:lvl w:ilvl="0" w:tplc="D5A80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1E4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36A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2E7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D4C2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BEF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AAD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DC7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4E1A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D690191"/>
    <w:multiLevelType w:val="hybridMultilevel"/>
    <w:tmpl w:val="2C0C2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11"/>
  </w:num>
  <w:num w:numId="7">
    <w:abstractNumId w:val="10"/>
  </w:num>
  <w:num w:numId="8">
    <w:abstractNumId w:val="9"/>
  </w:num>
  <w:num w:numId="9">
    <w:abstractNumId w:val="2"/>
  </w:num>
  <w:num w:numId="10">
    <w:abstractNumId w:val="7"/>
  </w:num>
  <w:num w:numId="11">
    <w:abstractNumId w:val="4"/>
  </w:num>
  <w:num w:numId="12">
    <w:abstractNumId w:val="3"/>
  </w:num>
  <w:num w:numId="13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ADE"/>
    <w:rsid w:val="00031ADE"/>
    <w:rsid w:val="000A14C3"/>
    <w:rsid w:val="001E2074"/>
    <w:rsid w:val="001E6DFD"/>
    <w:rsid w:val="002E5437"/>
    <w:rsid w:val="00393FD2"/>
    <w:rsid w:val="003A6847"/>
    <w:rsid w:val="004B5BA9"/>
    <w:rsid w:val="004C1A20"/>
    <w:rsid w:val="005C4B84"/>
    <w:rsid w:val="005F19F9"/>
    <w:rsid w:val="00671B55"/>
    <w:rsid w:val="007919D9"/>
    <w:rsid w:val="007C1DE9"/>
    <w:rsid w:val="008936FF"/>
    <w:rsid w:val="00900925"/>
    <w:rsid w:val="0094292E"/>
    <w:rsid w:val="00956368"/>
    <w:rsid w:val="00A147A4"/>
    <w:rsid w:val="00A74FAB"/>
    <w:rsid w:val="00AC328E"/>
    <w:rsid w:val="00B11923"/>
    <w:rsid w:val="00B60552"/>
    <w:rsid w:val="00B95AD9"/>
    <w:rsid w:val="00BB1A56"/>
    <w:rsid w:val="00C748D4"/>
    <w:rsid w:val="00D079A9"/>
    <w:rsid w:val="00D14D5B"/>
    <w:rsid w:val="00D768F2"/>
    <w:rsid w:val="00DC19EB"/>
    <w:rsid w:val="00E033BB"/>
    <w:rsid w:val="00E23BE7"/>
    <w:rsid w:val="00EC6D1E"/>
    <w:rsid w:val="00F2080E"/>
    <w:rsid w:val="00FD0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8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A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4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D5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4B8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4B8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4B84"/>
    <w:rPr>
      <w:vertAlign w:val="superscript"/>
    </w:rPr>
  </w:style>
  <w:style w:type="table" w:styleId="TableGrid">
    <w:name w:val="Table Grid"/>
    <w:basedOn w:val="TableNormal"/>
    <w:uiPriority w:val="59"/>
    <w:rsid w:val="00FD0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C1A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923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61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70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05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6013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62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vacoventry.org.uk/new-voluntary-sector-consortium-here2help-launched-22-february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Office_Word_Document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095ED3B-46C4-43C3-A0E0-A751C488A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Alwyine-Mosely</dc:creator>
  <cp:lastModifiedBy>John Alwyine-Mosely</cp:lastModifiedBy>
  <cp:revision>2</cp:revision>
  <cp:lastPrinted>2011-10-02T09:30:00Z</cp:lastPrinted>
  <dcterms:created xsi:type="dcterms:W3CDTF">2013-03-19T10:54:00Z</dcterms:created>
  <dcterms:modified xsi:type="dcterms:W3CDTF">2013-03-19T10:54:00Z</dcterms:modified>
</cp:coreProperties>
</file>